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sz w:val="24"/>
          <w:lang w:val="en-US" w:eastAsia="zh-CN"/>
        </w:rPr>
      </w:pPr>
      <w:r>
        <w:rPr>
          <w:b/>
          <w:sz w:val="24"/>
        </w:rPr>
        <w:t>3GPP TSG-SA WG1 Meeting #10</w:t>
      </w:r>
      <w:r>
        <w:rPr>
          <w:rFonts w:hint="eastAsia" w:eastAsia="宋体"/>
          <w:b/>
          <w:sz w:val="24"/>
          <w:lang w:val="en-US" w:eastAsia="zh-CN"/>
        </w:rPr>
        <w:t>7</w:t>
      </w:r>
      <w:r>
        <w:rPr>
          <w:b/>
          <w:sz w:val="24"/>
        </w:rPr>
        <w:t xml:space="preserve"> </w:t>
      </w:r>
      <w:r>
        <w:rPr>
          <w:b/>
          <w:sz w:val="24"/>
        </w:rPr>
        <w:tab/>
      </w:r>
      <w:r>
        <w:rPr>
          <w:b/>
          <w:sz w:val="24"/>
        </w:rPr>
        <w:t>S1-</w:t>
      </w:r>
      <w:r>
        <w:rPr>
          <w:rFonts w:hint="eastAsia" w:eastAsia="宋体"/>
          <w:b/>
          <w:sz w:val="24"/>
          <w:lang w:val="en-US" w:eastAsia="zh-CN"/>
        </w:rPr>
        <w:t>242548</w:t>
      </w:r>
    </w:p>
    <w:p>
      <w:pPr>
        <w:pStyle w:val="88"/>
        <w:tabs>
          <w:tab w:val="right" w:pos="9639"/>
        </w:tabs>
        <w:spacing w:after="0"/>
        <w:rPr>
          <w:b/>
          <w:i/>
          <w:sz w:val="28"/>
        </w:rPr>
      </w:pPr>
      <w:r>
        <w:rPr>
          <w:rFonts w:ascii="Arial" w:hAnsi="Arial"/>
          <w:b/>
          <w:sz w:val="24"/>
          <w:szCs w:val="24"/>
          <w:lang w:eastAsia="ja-JP"/>
        </w:rPr>
        <w:t>Maastricht, The Netherlands, 19-23 August 202</w:t>
      </w:r>
      <w:r>
        <w:rPr>
          <w:b/>
          <w:sz w:val="24"/>
          <w:szCs w:val="24"/>
          <w:lang w:eastAsia="ja-JP"/>
        </w:rPr>
        <w:t>4</w:t>
      </w:r>
      <w:r>
        <w:rPr>
          <w:rFonts w:hint="eastAsia" w:eastAsia="宋体"/>
          <w:b/>
          <w:sz w:val="24"/>
          <w:szCs w:val="24"/>
          <w:lang w:val="en-US" w:eastAsia="zh-CN"/>
        </w:rPr>
        <w:t xml:space="preserve"> </w:t>
      </w:r>
      <w:r>
        <w:rPr>
          <w:rFonts w:hint="eastAsia" w:eastAsia="宋体"/>
          <w:b/>
          <w:sz w:val="24"/>
          <w:szCs w:val="24"/>
          <w:lang w:val="en-US" w:eastAsia="zh-CN"/>
        </w:rPr>
        <w:t xml:space="preserve">    </w:t>
      </w:r>
      <w:bookmarkStart w:id="12" w:name="_GoBack"/>
      <w:bookmarkEnd w:id="12"/>
      <w:r>
        <w:rPr>
          <w:rFonts w:hint="eastAsia" w:eastAsia="宋体"/>
          <w:b/>
          <w:sz w:val="24"/>
          <w:szCs w:val="24"/>
          <w:lang w:val="en-US" w:eastAsia="zh-CN"/>
        </w:rPr>
        <w:t>(revision of S1-242540,2490,2327)</w:t>
      </w:r>
      <w:r>
        <w:rPr>
          <w:b/>
          <w:sz w:val="24"/>
        </w:rPr>
        <w:tab/>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fldChar w:fldCharType="begin"/>
            </w:r>
            <w:r>
              <w:instrText xml:space="preserve"> DOCPROPERTY  Spec#  \* MERGEFORMAT </w:instrText>
            </w:r>
            <w:r>
              <w:fldChar w:fldCharType="separate"/>
            </w:r>
            <w:r>
              <w:rPr>
                <w:b/>
                <w:sz w:val="28"/>
              </w:rPr>
              <w:t>22.261</w:t>
            </w:r>
            <w:r>
              <w:rPr>
                <w:b/>
                <w:sz w:val="28"/>
              </w:rPr>
              <w:fldChar w:fldCharType="end"/>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eastAsia="宋体"/>
                <w:lang w:val="en-US" w:eastAsia="zh-CN"/>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80</w:t>
            </w:r>
            <w:r>
              <w:rPr>
                <w:b/>
                <w:sz w:val="28"/>
              </w:rPr>
              <w:t>6</w:t>
            </w:r>
            <w:r>
              <w:rPr>
                <w:b/>
                <w:sz w:val="28"/>
              </w:rPr>
              <w:fldChar w:fldCharType="end"/>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hint="default" w:eastAsia="宋体"/>
                <w:b/>
                <w:lang w:val="en-US" w:eastAsia="zh-CN"/>
              </w:rPr>
            </w:pPr>
            <w:r>
              <w:rPr>
                <w:rFonts w:hint="eastAsia" w:eastAsia="宋体"/>
                <w:b/>
                <w:sz w:val="28"/>
                <w:lang w:val="en-US" w:eastAsia="zh-CN"/>
              </w:rPr>
              <w:t>4</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fldChar w:fldCharType="begin"/>
            </w:r>
            <w:r>
              <w:instrText xml:space="preserve"> DOCPROPERTY  Version  \* MERGEFORMAT </w:instrText>
            </w:r>
            <w:r>
              <w:fldChar w:fldCharType="separate"/>
            </w:r>
            <w:r>
              <w:rPr>
                <w:b/>
                <w:sz w:val="28"/>
              </w:rPr>
              <w:t>19.</w:t>
            </w:r>
            <w:r>
              <w:rPr>
                <w:rFonts w:hint="eastAsia" w:eastAsia="宋体"/>
                <w:b/>
                <w:sz w:val="28"/>
                <w:lang w:val="en-US" w:eastAsia="zh-CN"/>
              </w:rPr>
              <w:t>7</w:t>
            </w:r>
            <w:r>
              <w:rPr>
                <w:b/>
                <w:sz w:val="28"/>
              </w:rPr>
              <w:t>.0</w:t>
            </w:r>
            <w:r>
              <w:rPr>
                <w:b/>
                <w:sz w:val="28"/>
              </w:rPr>
              <w:fldChar w:fldCharType="end"/>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HELP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3"/>
                <w:rFonts w:cs="Arial"/>
                <w:i/>
              </w:rPr>
              <w:t>http://www.3gpp.org/Change-Requests</w:t>
            </w:r>
            <w:r>
              <w:rPr>
                <w:rStyle w:val="4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0"/>
        <w:tblW w:w="9639" w:type="dxa"/>
        <w:tblInd w:w="42" w:type="dxa"/>
        <w:tblLayout w:type="autofit"/>
        <w:tblCellMar>
          <w:top w:w="0" w:type="dxa"/>
          <w:left w:w="42" w:type="dxa"/>
          <w:bottom w:w="0" w:type="dxa"/>
          <w:right w:w="42" w:type="dxa"/>
        </w:tblCellMar>
      </w:tblPr>
      <w:tblGrid>
        <w:gridCol w:w="2834"/>
        <w:gridCol w:w="1418"/>
        <w:gridCol w:w="284"/>
        <w:gridCol w:w="709"/>
        <w:gridCol w:w="283"/>
        <w:gridCol w:w="2127"/>
        <w:gridCol w:w="283"/>
        <w:gridCol w:w="1418"/>
        <w:gridCol w:w="283"/>
      </w:tblGrid>
      <w:tr>
        <w:tblPrEx>
          <w:tblCellMar>
            <w:top w:w="0" w:type="dxa"/>
            <w:left w:w="42" w:type="dxa"/>
            <w:bottom w:w="0" w:type="dxa"/>
            <w:right w:w="42" w:type="dxa"/>
          </w:tblCellMar>
        </w:tblPrEx>
        <w:tc>
          <w:tcPr>
            <w:tcW w:w="2834"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4"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000000" w:sz="4" w:space="0"/>
            </w:tcBorders>
          </w:tcPr>
          <w:p>
            <w:pPr>
              <w:pStyle w:val="88"/>
              <w:spacing w:after="0"/>
              <w:jc w:val="right"/>
              <w:rPr>
                <w:u w:val="single"/>
              </w:rPr>
            </w:pPr>
            <w:r>
              <w:t>ME</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2127" w:type="dxa"/>
          </w:tcPr>
          <w:p>
            <w:pPr>
              <w:pStyle w:val="88"/>
              <w:spacing w:after="0"/>
              <w:jc w:val="right"/>
              <w:rPr>
                <w:u w:val="single"/>
              </w:rPr>
            </w:pPr>
            <w:r>
              <w:t>Radio Access Network</w:t>
            </w:r>
          </w:p>
        </w:tc>
        <w:tc>
          <w:tcPr>
            <w:tcW w:w="283" w:type="dxa"/>
            <w:tcBorders>
              <w:top w:val="single" w:color="000000" w:sz="4" w:space="0"/>
              <w:left w:val="single" w:color="000000" w:sz="4" w:space="0"/>
              <w:bottom w:val="single" w:color="000000" w:sz="4" w:space="0"/>
              <w:right w:val="single" w:color="000000" w:sz="4" w:space="0"/>
            </w:tcBorders>
            <w:shd w:val="pct25" w:color="FFFF00" w:fill="auto"/>
          </w:tcPr>
          <w:p>
            <w:pPr>
              <w:pStyle w:val="88"/>
              <w:spacing w:after="0"/>
              <w:jc w:val="center"/>
              <w:rPr>
                <w:b/>
                <w:caps/>
              </w:rPr>
            </w:pPr>
          </w:p>
        </w:tc>
        <w:tc>
          <w:tcPr>
            <w:tcW w:w="1418" w:type="dxa"/>
          </w:tcPr>
          <w:p>
            <w:pPr>
              <w:pStyle w:val="88"/>
              <w:spacing w:after="0"/>
              <w:jc w:val="right"/>
            </w:pPr>
            <w:r>
              <w:t>Core Network</w:t>
            </w:r>
          </w:p>
        </w:tc>
        <w:tc>
          <w:tcPr>
            <w:tcW w:w="282"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bCs/>
                <w:caps/>
              </w:rPr>
            </w:pPr>
            <w:r>
              <w:rPr>
                <w:b/>
                <w:bCs/>
                <w:caps/>
              </w:rPr>
              <w:t>x</w:t>
            </w:r>
          </w:p>
        </w:tc>
      </w:tr>
    </w:tbl>
    <w:p>
      <w:pPr>
        <w:rPr>
          <w:sz w:val="8"/>
          <w:szCs w:val="8"/>
        </w:rPr>
      </w:pPr>
    </w:p>
    <w:tbl>
      <w:tblPr>
        <w:tblStyle w:val="40"/>
        <w:tblW w:w="9640" w:type="dxa"/>
        <w:tblInd w:w="42" w:type="dxa"/>
        <w:tblLayout w:type="autofit"/>
        <w:tblCellMar>
          <w:top w:w="0" w:type="dxa"/>
          <w:left w:w="42" w:type="dxa"/>
          <w:bottom w:w="0" w:type="dxa"/>
          <w:right w:w="42" w:type="dxa"/>
        </w:tblCellMar>
      </w:tblPr>
      <w:tblGrid>
        <w:gridCol w:w="1843"/>
        <w:gridCol w:w="850"/>
        <w:gridCol w:w="284"/>
        <w:gridCol w:w="285"/>
        <w:gridCol w:w="567"/>
        <w:gridCol w:w="1699"/>
        <w:gridCol w:w="567"/>
        <w:gridCol w:w="144"/>
        <w:gridCol w:w="280"/>
        <w:gridCol w:w="994"/>
        <w:gridCol w:w="2127"/>
      </w:tblGrid>
      <w:t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000000" w:sz="4" w:space="0"/>
              <w:left w:val="single" w:color="000000" w:sz="4" w:space="0"/>
            </w:tcBorders>
          </w:tcPr>
          <w:p>
            <w:pPr>
              <w:pStyle w:val="88"/>
              <w:tabs>
                <w:tab w:val="right" w:pos="1759"/>
              </w:tabs>
              <w:spacing w:after="0"/>
              <w:rPr>
                <w:b/>
                <w:i/>
              </w:rPr>
            </w:pPr>
            <w:r>
              <w:rPr>
                <w:b/>
                <w:i/>
              </w:rPr>
              <w:t>Title:</w:t>
            </w:r>
            <w:r>
              <w:rPr>
                <w:b/>
                <w:i/>
              </w:rPr>
              <w:tab/>
            </w:r>
          </w:p>
        </w:tc>
        <w:tc>
          <w:tcPr>
            <w:tcW w:w="7797" w:type="dxa"/>
            <w:gridSpan w:val="10"/>
            <w:tcBorders>
              <w:top w:val="single" w:color="000000" w:sz="4" w:space="0"/>
              <w:right w:val="single" w:color="000000" w:sz="4" w:space="0"/>
            </w:tcBorders>
            <w:shd w:val="pct30" w:color="FFFF00" w:fill="auto"/>
          </w:tcPr>
          <w:p>
            <w:pPr>
              <w:pStyle w:val="88"/>
              <w:spacing w:after="0"/>
              <w:ind w:left="100"/>
              <w:rPr>
                <w:rFonts w:hint="default"/>
                <w:lang w:val="en-US"/>
              </w:rPr>
            </w:pPr>
            <w:r>
              <w:rPr>
                <w:rFonts w:hint="eastAsia"/>
                <w:color w:val="auto"/>
              </w:rPr>
              <w:t xml:space="preserve">Add </w:t>
            </w:r>
            <w:r>
              <w:rPr>
                <w:rFonts w:hint="eastAsia" w:eastAsia="宋体"/>
                <w:color w:val="auto"/>
                <w:lang w:val="en-US" w:eastAsia="zh-CN"/>
              </w:rPr>
              <w:t xml:space="preserve">new </w:t>
            </w:r>
            <w:r>
              <w:rPr>
                <w:rFonts w:hint="eastAsia"/>
                <w:color w:val="auto"/>
              </w:rPr>
              <w:t xml:space="preserve">service requirements for </w:t>
            </w:r>
            <w:r>
              <w:rPr>
                <w:rFonts w:hint="eastAsia" w:eastAsia="宋体"/>
                <w:color w:val="auto"/>
                <w:lang w:val="en-US" w:eastAsia="zh-CN"/>
              </w:rPr>
              <w:t xml:space="preserve">exposing </w:t>
            </w:r>
            <w:r>
              <w:rPr>
                <w:rFonts w:hint="eastAsia"/>
                <w:color w:val="auto"/>
              </w:rPr>
              <w:t>VN</w:t>
            </w:r>
            <w:r>
              <w:rPr>
                <w:rFonts w:hint="eastAsia" w:eastAsia="宋体"/>
                <w:color w:val="auto"/>
                <w:lang w:val="en-US" w:eastAsia="zh-CN"/>
              </w:rPr>
              <w:t xml:space="preserve"> information and capability </w:t>
            </w:r>
            <w:r>
              <w:rPr>
                <w:rFonts w:hint="eastAsia"/>
                <w:color w:val="auto"/>
              </w:rPr>
              <w:t>to authorized third party</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7797" w:type="dxa"/>
            <w:gridSpan w:val="10"/>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Source to WG:</w:t>
            </w:r>
          </w:p>
        </w:tc>
        <w:tc>
          <w:tcPr>
            <w:tcW w:w="7797" w:type="dxa"/>
            <w:gridSpan w:val="10"/>
            <w:tcBorders>
              <w:right w:val="single" w:color="000000" w:sz="4" w:space="0"/>
            </w:tcBorders>
            <w:shd w:val="pct30" w:color="FFFF00" w:fill="auto"/>
          </w:tcPr>
          <w:p>
            <w:pPr>
              <w:pStyle w:val="88"/>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Source to TSG:</w:t>
            </w:r>
          </w:p>
        </w:tc>
        <w:tc>
          <w:tcPr>
            <w:tcW w:w="7797" w:type="dxa"/>
            <w:gridSpan w:val="10"/>
            <w:tcBorders>
              <w:right w:val="single" w:color="000000" w:sz="4" w:space="0"/>
            </w:tcBorders>
            <w:shd w:val="pct30" w:color="FFFF00" w:fill="auto"/>
          </w:tcPr>
          <w:p>
            <w:pPr>
              <w:pStyle w:val="88"/>
              <w:spacing w:after="0"/>
              <w:ind w:left="100"/>
            </w:pPr>
            <w:r>
              <w:t>SA1</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7797" w:type="dxa"/>
            <w:gridSpan w:val="10"/>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Work item code:</w:t>
            </w:r>
          </w:p>
        </w:tc>
        <w:tc>
          <w:tcPr>
            <w:tcW w:w="3685" w:type="dxa"/>
            <w:gridSpan w:val="5"/>
            <w:shd w:val="pct30" w:color="FFFF00" w:fill="auto"/>
          </w:tcPr>
          <w:p>
            <w:pPr>
              <w:pStyle w:val="88"/>
              <w:spacing w:after="0"/>
              <w:ind w:left="100"/>
            </w:pPr>
            <w:r>
              <w:rPr>
                <w:rFonts w:hint="eastAsia"/>
              </w:rPr>
              <w:t>VNExposure</w:t>
            </w:r>
          </w:p>
        </w:tc>
        <w:tc>
          <w:tcPr>
            <w:tcW w:w="567" w:type="dxa"/>
          </w:tcPr>
          <w:p>
            <w:pPr>
              <w:pStyle w:val="88"/>
              <w:spacing w:after="0"/>
              <w:ind w:right="100"/>
            </w:pPr>
          </w:p>
        </w:tc>
        <w:tc>
          <w:tcPr>
            <w:tcW w:w="1418" w:type="dxa"/>
            <w:gridSpan w:val="3"/>
          </w:tcPr>
          <w:p>
            <w:pPr>
              <w:pStyle w:val="88"/>
              <w:spacing w:after="0"/>
              <w:jc w:val="right"/>
            </w:pPr>
            <w:r>
              <w:rPr>
                <w:b/>
                <w:i/>
              </w:rPr>
              <w:t>Date:</w:t>
            </w:r>
          </w:p>
        </w:tc>
        <w:tc>
          <w:tcPr>
            <w:tcW w:w="2127" w:type="dxa"/>
            <w:tcBorders>
              <w:right w:val="single" w:color="000000" w:sz="4" w:space="0"/>
            </w:tcBorders>
            <w:shd w:val="pct30" w:color="FFFF00" w:fill="auto"/>
          </w:tcPr>
          <w:p>
            <w:pPr>
              <w:pStyle w:val="88"/>
              <w:spacing w:after="0"/>
              <w:ind w:left="100"/>
              <w:rPr>
                <w:rFonts w:hint="default" w:eastAsia="宋体"/>
                <w:lang w:val="en-US" w:eastAsia="zh-CN"/>
              </w:rPr>
            </w:pPr>
            <w:r>
              <w:t>2024-0</w:t>
            </w:r>
            <w:r>
              <w:rPr>
                <w:rFonts w:hint="eastAsia" w:eastAsia="宋体"/>
                <w:lang w:val="en-US" w:eastAsia="zh-CN"/>
              </w:rPr>
              <w:t>8</w:t>
            </w:r>
            <w:r>
              <w:t>-</w:t>
            </w:r>
            <w:r>
              <w:rPr>
                <w:rFonts w:hint="eastAsia" w:eastAsia="宋体"/>
                <w:lang w:val="en-US" w:eastAsia="zh-CN"/>
              </w:rPr>
              <w:t>23</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1986" w:type="dxa"/>
            <w:gridSpan w:val="4"/>
          </w:tcPr>
          <w:p>
            <w:pPr>
              <w:pStyle w:val="88"/>
              <w:spacing w:after="0"/>
              <w:rPr>
                <w:sz w:val="8"/>
                <w:szCs w:val="8"/>
              </w:rPr>
            </w:pPr>
          </w:p>
        </w:tc>
        <w:tc>
          <w:tcPr>
            <w:tcW w:w="2266" w:type="dxa"/>
            <w:gridSpan w:val="2"/>
          </w:tcPr>
          <w:p>
            <w:pPr>
              <w:pStyle w:val="88"/>
              <w:spacing w:after="0"/>
              <w:rPr>
                <w:sz w:val="8"/>
                <w:szCs w:val="8"/>
              </w:rPr>
            </w:pPr>
          </w:p>
        </w:tc>
        <w:tc>
          <w:tcPr>
            <w:tcW w:w="1418" w:type="dxa"/>
            <w:gridSpan w:val="3"/>
          </w:tcPr>
          <w:p>
            <w:pPr>
              <w:pStyle w:val="88"/>
              <w:spacing w:after="0"/>
              <w:rPr>
                <w:sz w:val="8"/>
                <w:szCs w:val="8"/>
              </w:rPr>
            </w:pPr>
          </w:p>
        </w:tc>
        <w:tc>
          <w:tcPr>
            <w:tcW w:w="2127" w:type="dxa"/>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000000" w:sz="4" w:space="0"/>
            </w:tcBorders>
          </w:tcPr>
          <w:p>
            <w:pPr>
              <w:pStyle w:val="88"/>
              <w:tabs>
                <w:tab w:val="right" w:pos="1759"/>
              </w:tabs>
              <w:spacing w:after="0"/>
              <w:rPr>
                <w:b/>
                <w:i/>
              </w:rPr>
            </w:pPr>
            <w:r>
              <w:rPr>
                <w:b/>
                <w:i/>
              </w:rPr>
              <w:t>Category:</w:t>
            </w:r>
          </w:p>
        </w:tc>
        <w:tc>
          <w:tcPr>
            <w:tcW w:w="850" w:type="dxa"/>
            <w:shd w:val="pct30" w:color="FFFF00" w:fill="auto"/>
          </w:tcPr>
          <w:p>
            <w:pPr>
              <w:pStyle w:val="88"/>
              <w:spacing w:after="0"/>
              <w:ind w:left="100" w:right="-609"/>
            </w:pPr>
            <w:r>
              <w:t>B</w:t>
            </w:r>
          </w:p>
        </w:tc>
        <w:tc>
          <w:tcPr>
            <w:tcW w:w="3402" w:type="dxa"/>
            <w:gridSpan w:val="5"/>
          </w:tcPr>
          <w:p>
            <w:pPr>
              <w:pStyle w:val="88"/>
              <w:spacing w:after="0"/>
            </w:pPr>
          </w:p>
        </w:tc>
        <w:tc>
          <w:tcPr>
            <w:tcW w:w="1418" w:type="dxa"/>
            <w:gridSpan w:val="3"/>
          </w:tcPr>
          <w:p>
            <w:pPr>
              <w:pStyle w:val="88"/>
              <w:spacing w:after="0"/>
              <w:jc w:val="right"/>
              <w:rPr>
                <w:b/>
                <w:i/>
              </w:rPr>
            </w:pPr>
            <w:r>
              <w:rPr>
                <w:b/>
                <w:i/>
              </w:rPr>
              <w:t>Release:</w:t>
            </w:r>
          </w:p>
        </w:tc>
        <w:tc>
          <w:tcPr>
            <w:tcW w:w="2127" w:type="dxa"/>
            <w:tcBorders>
              <w:right w:val="single" w:color="000000" w:sz="4" w:space="0"/>
            </w:tcBorders>
            <w:shd w:val="pct30" w:color="FFFF00" w:fill="auto"/>
          </w:tcPr>
          <w:p>
            <w:pPr>
              <w:pStyle w:val="88"/>
              <w:spacing w:after="0"/>
              <w:ind w:left="100"/>
              <w:rPr>
                <w:rFonts w:hint="eastAsia" w:eastAsia="宋体"/>
                <w:lang w:val="en-US" w:eastAsia="zh-CN"/>
              </w:rPr>
            </w:pPr>
            <w:r>
              <w:fldChar w:fldCharType="begin"/>
            </w:r>
            <w:r>
              <w:instrText xml:space="preserve">DOCPROPERTY "Release"</w:instrText>
            </w:r>
            <w:r>
              <w:fldChar w:fldCharType="separate"/>
            </w:r>
            <w:r>
              <w:t>Rel-</w:t>
            </w:r>
            <w:r>
              <w:rPr>
                <w:rFonts w:hint="eastAsia" w:eastAsia="宋体"/>
                <w:lang w:val="en-US" w:eastAsia="zh-CN"/>
              </w:rPr>
              <w:t>2</w:t>
            </w:r>
            <w:r>
              <w:fldChar w:fldCharType="end"/>
            </w:r>
            <w:r>
              <w:rPr>
                <w:rFonts w:hint="eastAsia" w:eastAsia="宋体"/>
                <w:lang w:val="en-US" w:eastAsia="zh-CN"/>
              </w:rPr>
              <w:t>0</w:t>
            </w:r>
          </w:p>
        </w:tc>
      </w:tr>
      <w:tr>
        <w:tblPrEx>
          <w:tblCellMar>
            <w:top w:w="0" w:type="dxa"/>
            <w:left w:w="42" w:type="dxa"/>
            <w:bottom w:w="0" w:type="dxa"/>
            <w:right w:w="42" w:type="dxa"/>
          </w:tblCellMar>
        </w:tblPrEx>
        <w:tc>
          <w:tcPr>
            <w:tcW w:w="1843" w:type="dxa"/>
            <w:tcBorders>
              <w:left w:val="single" w:color="000000" w:sz="4" w:space="0"/>
              <w:bottom w:val="single" w:color="000000" w:sz="4" w:space="0"/>
            </w:tcBorders>
          </w:tcPr>
          <w:p>
            <w:pPr>
              <w:pStyle w:val="88"/>
              <w:spacing w:after="0"/>
              <w:rPr>
                <w:b/>
                <w:i/>
              </w:rPr>
            </w:pPr>
          </w:p>
        </w:tc>
        <w:tc>
          <w:tcPr>
            <w:tcW w:w="4676" w:type="dxa"/>
            <w:gridSpan w:val="8"/>
            <w:tcBorders>
              <w:bottom w:val="single" w:color="000000"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\h </w:instrText>
            </w:r>
            <w:r>
              <w:fldChar w:fldCharType="separate"/>
            </w:r>
            <w:r>
              <w:rPr>
                <w:rStyle w:val="43"/>
                <w:sz w:val="18"/>
              </w:rPr>
              <w:t>TR 21.900</w:t>
            </w:r>
            <w:r>
              <w:rPr>
                <w:rStyle w:val="43"/>
                <w:sz w:val="18"/>
              </w:rPr>
              <w:fldChar w:fldCharType="end"/>
            </w:r>
            <w:r>
              <w:rPr>
                <w:sz w:val="18"/>
              </w:rPr>
              <w:t>.</w:t>
            </w:r>
          </w:p>
        </w:tc>
        <w:tc>
          <w:tcPr>
            <w:tcW w:w="3121" w:type="dxa"/>
            <w:gridSpan w:val="2"/>
            <w:tcBorders>
              <w:bottom w:val="single" w:color="000000" w:sz="4" w:space="0"/>
              <w:right w:val="single" w:color="000000"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pPr>
              <w:pStyle w:val="88"/>
              <w:tabs>
                <w:tab w:val="left" w:pos="950"/>
              </w:tabs>
              <w:spacing w:after="0"/>
              <w:ind w:left="242" w:leftChars="103" w:hanging="36" w:hangingChars="20"/>
              <w:rPr>
                <w:i/>
                <w:sz w:val="18"/>
              </w:rPr>
            </w:pP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8"/>
              <w:tabs>
                <w:tab w:val="right" w:pos="2184"/>
              </w:tabs>
              <w:spacing w:after="0"/>
              <w:rPr>
                <w:b/>
                <w:i/>
              </w:rPr>
            </w:pPr>
            <w:r>
              <w:rPr>
                <w:b/>
                <w:i/>
              </w:rPr>
              <w:t>Reason for change:</w:t>
            </w:r>
          </w:p>
        </w:tc>
        <w:tc>
          <w:tcPr>
            <w:tcW w:w="6947" w:type="dxa"/>
            <w:gridSpan w:val="9"/>
            <w:tcBorders>
              <w:top w:val="single" w:color="000000" w:sz="4" w:space="0"/>
              <w:right w:val="single" w:color="000000" w:sz="4" w:space="0"/>
            </w:tcBorders>
            <w:shd w:val="pct30" w:color="FFFF00" w:fill="auto"/>
          </w:tcPr>
          <w:p>
            <w:pPr>
              <w:rPr>
                <w:rFonts w:hint="eastAsia" w:ascii="Arial" w:hAnsi="Arial" w:eastAsia="Times New Roman" w:cs="Times New Roman"/>
                <w:lang w:val="en-US" w:eastAsia="zh-CN" w:bidi="ar-SA"/>
              </w:rPr>
            </w:pPr>
            <w:r>
              <w:rPr>
                <w:rFonts w:hint="eastAsia" w:ascii="Arial" w:hAnsi="Arial" w:eastAsia="Times New Roman" w:cs="Times New Roman"/>
                <w:lang w:val="en-US" w:eastAsia="zh-CN" w:bidi="ar-SA"/>
              </w:rPr>
              <w:t>(1) The authorized third-party industry customers need to obtain information reporting at the granularity of 5G VN from the 5G system, so as to make necessary business adjustments and troubleshoot based on these information.In TS 22.261 6.26.2.3, the definition of "for a specific network" and the scope of "information" in "configure and receive information regarding the achieved performance for a specific network" are unclear and needs more clarification.</w:t>
            </w:r>
          </w:p>
          <w:p>
            <w:pPr>
              <w:rPr>
                <w:rFonts w:hint="eastAsia" w:ascii="Arial" w:hAnsi="Arial" w:eastAsia="Times New Roman" w:cs="Times New Roman"/>
                <w:lang w:val="en-US" w:eastAsia="zh-CN" w:bidi="ar-SA"/>
              </w:rPr>
            </w:pPr>
            <w:r>
              <w:rPr>
                <w:rFonts w:hint="eastAsia" w:ascii="Arial" w:hAnsi="Arial" w:eastAsia="Times New Roman" w:cs="Times New Roman"/>
                <w:lang w:val="en-US" w:eastAsia="zh-CN" w:bidi="ar-SA"/>
              </w:rPr>
              <w:t>(2) Industry customers require adjustments to 5G LAN groups based on business needs, which may involve changes in</w:t>
            </w:r>
            <w:r>
              <w:rPr>
                <w:rFonts w:hint="eastAsia" w:ascii="Arial" w:hAnsi="Arial" w:cs="Times New Roman"/>
                <w:lang w:val="en-US" w:eastAsia="zh-CN" w:bidi="ar-SA"/>
              </w:rPr>
              <w:t xml:space="preserve"> VN</w:t>
            </w:r>
            <w:r>
              <w:rPr>
                <w:rFonts w:hint="eastAsia" w:ascii="Arial" w:hAnsi="Arial" w:eastAsia="Times New Roman" w:cs="Times New Roman"/>
                <w:lang w:val="en-US" w:eastAsia="zh-CN" w:bidi="ar-SA"/>
              </w:rPr>
              <w:t xml:space="preserve"> network configurations. This necessitates manual intervention by operators, resulting in a lengthy business adjustment cycle and leads to high communication costs between the enterprise AF and NEFs.</w:t>
            </w:r>
          </w:p>
          <w:p>
            <w:pPr>
              <w:rPr>
                <w:rFonts w:hint="eastAsia" w:ascii="Arial" w:hAnsi="Arial" w:eastAsia="Times New Roman" w:cs="Times New Roman"/>
                <w:lang w:val="en-US" w:eastAsia="zh-CN" w:bidi="ar-SA"/>
              </w:rPr>
            </w:pPr>
            <w:r>
              <w:rPr>
                <w:rFonts w:hint="eastAsia" w:ascii="Arial" w:hAnsi="Arial" w:eastAsia="Times New Roman" w:cs="Times New Roman"/>
                <w:lang w:val="en-US" w:eastAsia="zh-CN" w:bidi="ar-SA"/>
              </w:rPr>
              <w:t xml:space="preserve">To address these issues, operators should just make the subscription and exposure VN management service, which is closely tied to business requirements, to authorized third-party industry customers. The industry customers could perform timely operation within the subscribed 5G LAN. This will enable a "one-time service activation, self-adjustment by customers" model, improving the efficiency of 5G VN service adjustments.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rPr>
            </w:pPr>
          </w:p>
        </w:tc>
      </w:tr>
      <w:tr>
        <w:tc>
          <w:tcPr>
            <w:tcW w:w="2693" w:type="dxa"/>
            <w:gridSpan w:val="2"/>
            <w:tcBorders>
              <w:left w:val="single" w:color="000000" w:sz="4" w:space="0"/>
            </w:tcBorders>
          </w:tcPr>
          <w:p>
            <w:pPr>
              <w:pStyle w:val="88"/>
              <w:tabs>
                <w:tab w:val="right" w:pos="2184"/>
              </w:tabs>
              <w:spacing w:after="0"/>
              <w:rPr>
                <w:b/>
                <w:i/>
              </w:rPr>
            </w:pPr>
            <w:r>
              <w:rPr>
                <w:b/>
                <w:i/>
              </w:rPr>
              <w:t>Summary of change:</w:t>
            </w:r>
          </w:p>
        </w:tc>
        <w:tc>
          <w:tcPr>
            <w:tcW w:w="6947" w:type="dxa"/>
            <w:gridSpan w:val="9"/>
            <w:tcBorders>
              <w:right w:val="single" w:color="000000" w:sz="4" w:space="0"/>
            </w:tcBorders>
            <w:shd w:val="pct30" w:color="FFFF00" w:fill="auto"/>
          </w:tcPr>
          <w:p>
            <w:pPr>
              <w:pStyle w:val="88"/>
              <w:spacing w:after="0"/>
              <w:ind w:left="100"/>
            </w:pPr>
            <w:r>
              <w:rPr>
                <w:rFonts w:hint="eastAsia" w:eastAsia="宋体"/>
                <w:lang w:val="en-US" w:eastAsia="zh-CN"/>
              </w:rPr>
              <w:t>Update and a</w:t>
            </w:r>
            <w:r>
              <w:rPr>
                <w:rFonts w:hint="eastAsia"/>
              </w:rPr>
              <w:t xml:space="preserve">dd service requirements for VN information </w:t>
            </w:r>
            <w:r>
              <w:rPr>
                <w:rFonts w:hint="eastAsia" w:eastAsia="宋体"/>
                <w:lang w:val="en-US" w:eastAsia="zh-CN"/>
              </w:rPr>
              <w:t xml:space="preserve">and capabilities   </w:t>
            </w:r>
            <w:r>
              <w:rPr>
                <w:rFonts w:hint="eastAsia"/>
              </w:rPr>
              <w:t>to authorized third party</w:t>
            </w:r>
            <w:r>
              <w:t>.</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8"/>
              <w:tabs>
                <w:tab w:val="right" w:pos="2184"/>
              </w:tabs>
              <w:spacing w:after="0"/>
              <w:rPr>
                <w:b/>
                <w:i/>
              </w:rPr>
            </w:pPr>
            <w:r>
              <w:rPr>
                <w:b/>
                <w:i/>
              </w:rPr>
              <w:t>Consequences if not approved:</w:t>
            </w:r>
          </w:p>
        </w:tc>
        <w:tc>
          <w:tcPr>
            <w:tcW w:w="6947" w:type="dxa"/>
            <w:gridSpan w:val="9"/>
            <w:tcBorders>
              <w:bottom w:val="single" w:color="000000" w:sz="4" w:space="0"/>
              <w:right w:val="single" w:color="000000" w:sz="4" w:space="0"/>
            </w:tcBorders>
            <w:shd w:val="pct30" w:color="FFFF00" w:fill="auto"/>
          </w:tcPr>
          <w:p>
            <w:pPr>
              <w:pStyle w:val="88"/>
              <w:spacing w:after="0"/>
              <w:ind w:left="100"/>
            </w:pPr>
            <w:r>
              <w:rPr>
                <w:rFonts w:hint="eastAsia"/>
              </w:rPr>
              <w:t>Authorized third-party industry customers are unable to obtain sufficient information to support their necessary business adjustments and troubleshooting.</w:t>
            </w:r>
          </w:p>
        </w:tc>
      </w:tr>
      <w:tr>
        <w:tblPrEx>
          <w:tblCellMar>
            <w:top w:w="0" w:type="dxa"/>
            <w:left w:w="42" w:type="dxa"/>
            <w:bottom w:w="0" w:type="dxa"/>
            <w:right w:w="42" w:type="dxa"/>
          </w:tblCellMar>
        </w:tblPrEx>
        <w:tc>
          <w:tcPr>
            <w:tcW w:w="2693" w:type="dxa"/>
            <w:gridSpan w:val="2"/>
          </w:tcPr>
          <w:p>
            <w:pPr>
              <w:pStyle w:val="88"/>
              <w:spacing w:after="0"/>
              <w:rPr>
                <w:b/>
                <w:i/>
                <w:sz w:val="8"/>
                <w:szCs w:val="8"/>
              </w:rPr>
            </w:pPr>
          </w:p>
        </w:tc>
        <w:tc>
          <w:tcPr>
            <w:tcW w:w="6947" w:type="dxa"/>
            <w:gridSpan w:val="9"/>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8"/>
              <w:tabs>
                <w:tab w:val="right" w:pos="2184"/>
              </w:tabs>
              <w:spacing w:after="0"/>
              <w:rPr>
                <w:b/>
                <w:i/>
              </w:rPr>
            </w:pPr>
            <w:r>
              <w:rPr>
                <w:b/>
                <w:i/>
              </w:rPr>
              <w:t>Clauses affected:</w:t>
            </w:r>
          </w:p>
        </w:tc>
        <w:tc>
          <w:tcPr>
            <w:tcW w:w="6947" w:type="dxa"/>
            <w:gridSpan w:val="9"/>
            <w:tcBorders>
              <w:top w:val="single" w:color="000000" w:sz="4" w:space="0"/>
              <w:right w:val="single" w:color="000000" w:sz="4" w:space="0"/>
            </w:tcBorders>
            <w:shd w:val="pct30" w:color="FFFF00" w:fill="auto"/>
          </w:tcPr>
          <w:p>
            <w:pPr>
              <w:pStyle w:val="88"/>
              <w:spacing w:after="0"/>
              <w:ind w:left="100"/>
              <w:rPr>
                <w:rFonts w:hint="default"/>
                <w:lang w:val="en-US"/>
              </w:rPr>
            </w:pPr>
            <w:r>
              <w:t>6.</w:t>
            </w:r>
            <w:r>
              <w:rPr>
                <w:rFonts w:hint="eastAsia" w:eastAsia="宋体"/>
                <w:lang w:val="en-US" w:eastAsia="zh-CN"/>
              </w:rPr>
              <w:t>26.2.3, 6.26.2.9</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p>
        </w:tc>
        <w:tc>
          <w:tcPr>
            <w:tcW w:w="284" w:type="dxa"/>
            <w:tcBorders>
              <w:top w:val="single" w:color="000000" w:sz="4" w:space="0"/>
              <w:left w:val="single" w:color="000000" w:sz="4" w:space="0"/>
              <w:bottom w:val="single" w:color="000000" w:sz="4" w:space="0"/>
            </w:tcBorders>
          </w:tcPr>
          <w:p>
            <w:pPr>
              <w:pStyle w:val="88"/>
              <w:spacing w:after="0"/>
              <w:jc w:val="center"/>
              <w:rPr>
                <w:b/>
                <w:caps/>
              </w:rPr>
            </w:pPr>
            <w:r>
              <w:rPr>
                <w:b/>
                <w:caps/>
              </w:rPr>
              <w:t>Y</w:t>
            </w:r>
          </w:p>
        </w:tc>
        <w:tc>
          <w:tcPr>
            <w:tcW w:w="285" w:type="dxa"/>
            <w:tcBorders>
              <w:top w:val="single" w:color="000000" w:sz="4" w:space="0"/>
              <w:left w:val="single" w:color="000000" w:sz="4" w:space="0"/>
              <w:bottom w:val="single" w:color="000000" w:sz="4" w:space="0"/>
              <w:right w:val="single" w:color="000000"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000000"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r>
              <w:rPr>
                <w:b/>
                <w:i/>
              </w:rPr>
              <w:t>Other specs</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r>
              <w:rPr>
                <w:b/>
                <w:i/>
              </w:rPr>
              <w:t>affected:</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r>
              <w:rPr>
                <w:b/>
                <w:i/>
              </w:rPr>
              <w:t>(show related CRs)</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p>
        </w:tc>
        <w:tc>
          <w:tcPr>
            <w:tcW w:w="6947" w:type="dxa"/>
            <w:gridSpan w:val="9"/>
            <w:tcBorders>
              <w:right w:val="single" w:color="000000" w:sz="4" w:space="0"/>
            </w:tcBorders>
          </w:tcPr>
          <w:p>
            <w:pPr>
              <w:pStyle w:val="88"/>
              <w:spacing w:after="0"/>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8"/>
              <w:tabs>
                <w:tab w:val="right" w:pos="2184"/>
              </w:tabs>
              <w:spacing w:after="0"/>
              <w:rPr>
                <w:b/>
                <w:i/>
              </w:rPr>
            </w:pPr>
            <w:r>
              <w:rPr>
                <w:b/>
                <w:i/>
              </w:rPr>
              <w:t>Other comments:</w:t>
            </w:r>
          </w:p>
        </w:tc>
        <w:tc>
          <w:tcPr>
            <w:tcW w:w="6947" w:type="dxa"/>
            <w:gridSpan w:val="9"/>
            <w:tcBorders>
              <w:bottom w:val="single" w:color="000000" w:sz="4" w:space="0"/>
              <w:right w:val="single" w:color="000000"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3" w:type="dxa"/>
            <w:gridSpan w:val="2"/>
            <w:tcBorders>
              <w:top w:val="single" w:color="000000" w:sz="4" w:space="0"/>
              <w:bottom w:val="single" w:color="000000" w:sz="4" w:space="0"/>
            </w:tcBorders>
          </w:tcPr>
          <w:p>
            <w:pPr>
              <w:pStyle w:val="88"/>
              <w:tabs>
                <w:tab w:val="right" w:pos="2184"/>
              </w:tabs>
              <w:spacing w:after="0"/>
              <w:rPr>
                <w:b/>
                <w:i/>
                <w:sz w:val="8"/>
                <w:szCs w:val="8"/>
              </w:rPr>
            </w:pPr>
          </w:p>
        </w:tc>
        <w:tc>
          <w:tcPr>
            <w:tcW w:w="6947" w:type="dxa"/>
            <w:gridSpan w:val="9"/>
            <w:tcBorders>
              <w:top w:val="single" w:color="000000" w:sz="4" w:space="0"/>
              <w:bottom w:val="single" w:color="000000"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bottom w:val="single" w:color="000000" w:sz="4" w:space="0"/>
            </w:tcBorders>
          </w:tcPr>
          <w:p>
            <w:pPr>
              <w:pStyle w:val="88"/>
              <w:tabs>
                <w:tab w:val="right" w:pos="2184"/>
              </w:tabs>
              <w:spacing w:after="0"/>
              <w:rPr>
                <w:b/>
                <w:i/>
              </w:rPr>
            </w:pPr>
            <w:r>
              <w:rPr>
                <w:b/>
                <w:i/>
              </w:rPr>
              <w:t>This CR's revision history:</w:t>
            </w:r>
          </w:p>
        </w:tc>
        <w:tc>
          <w:tcPr>
            <w:tcW w:w="6947" w:type="dxa"/>
            <w:gridSpan w:val="9"/>
            <w:tcBorders>
              <w:top w:val="single" w:color="000000" w:sz="4" w:space="0"/>
              <w:bottom w:val="single" w:color="000000" w:sz="4" w:space="0"/>
              <w:right w:val="single" w:color="000000" w:sz="4" w:space="0"/>
            </w:tcBorders>
            <w:shd w:val="pct30" w:color="FFFF00" w:fill="auto"/>
          </w:tcPr>
          <w:p>
            <w:pPr>
              <w:pStyle w:val="88"/>
              <w:spacing w:after="0"/>
              <w:ind w:left="100"/>
            </w:pPr>
          </w:p>
        </w:tc>
      </w:tr>
    </w:tbl>
    <w:p/>
    <w:p/>
    <w:p>
      <w:pPr>
        <w:keepNext/>
        <w:keepLines/>
        <w:spacing w:before="180"/>
        <w:ind w:left="1134" w:hanging="1134"/>
        <w:outlineLvl w:val="1"/>
        <w:rPr>
          <w:rFonts w:ascii="Arial" w:hAnsi="Arial"/>
          <w:sz w:val="32"/>
        </w:rPr>
      </w:pPr>
      <w:bookmarkStart w:id="0" w:name="OLE_LINK2"/>
      <w:r>
        <w:rPr>
          <w:rFonts w:ascii="Arial" w:hAnsi="Arial"/>
          <w:sz w:val="32"/>
        </w:rPr>
        <w:t xml:space="preserve">*****************   </w:t>
      </w:r>
      <w:r>
        <w:rPr>
          <w:rFonts w:hint="eastAsia" w:ascii="Arial" w:hAnsi="Arial" w:eastAsia="宋体"/>
          <w:sz w:val="32"/>
          <w:lang w:val="en-US" w:eastAsia="zh-CN"/>
        </w:rPr>
        <w:t xml:space="preserve">Start of </w:t>
      </w:r>
      <w:r>
        <w:rPr>
          <w:rFonts w:ascii="Arial" w:hAnsi="Arial"/>
          <w:sz w:val="32"/>
        </w:rPr>
        <w:t>First Change ***********************</w:t>
      </w:r>
    </w:p>
    <w:bookmarkEnd w:id="0"/>
    <w:p>
      <w:pPr>
        <w:pStyle w:val="5"/>
      </w:pPr>
      <w:bookmarkStart w:id="1" w:name="_Toc59116859"/>
      <w:bookmarkStart w:id="2" w:name="_Toc52638774"/>
      <w:bookmarkStart w:id="3" w:name="_Toc45387729"/>
      <w:bookmarkStart w:id="4" w:name="_Toc61885678"/>
      <w:bookmarkStart w:id="5" w:name="_Toc170458097"/>
      <w:r>
        <w:t>6.26.2.3</w:t>
      </w:r>
      <w:r>
        <w:tab/>
      </w:r>
      <w:r>
        <w:t>Creation and management</w:t>
      </w:r>
      <w:bookmarkEnd w:id="1"/>
      <w:bookmarkEnd w:id="2"/>
      <w:bookmarkEnd w:id="3"/>
      <w:bookmarkEnd w:id="4"/>
      <w:bookmarkEnd w:id="5"/>
    </w:p>
    <w:p>
      <w:r>
        <w:t>The 5G network shall enable the network operator to scale up/down a 5G LAN-VN, e.g. the coverage, capacity for efficient consumption of network resources.</w:t>
      </w:r>
    </w:p>
    <w:p>
      <w:r>
        <w:t xml:space="preserve">The 5G network shall enable the network operator to create, manage, and remove 5G LAN-VN including their related functionality (subscription data, routing and addressing functionality). </w:t>
      </w:r>
    </w:p>
    <w:p>
      <w:pPr>
        <w:rPr>
          <w:lang w:val="en-US"/>
        </w:rPr>
      </w:pPr>
      <w:r>
        <w:rPr>
          <w:lang w:val="en-US"/>
        </w:rPr>
        <w:t>The 5G network shall enable the network operator to add one or more authorized UEs to an existing 5G LAN-VN.</w:t>
      </w:r>
    </w:p>
    <w:p>
      <w:pPr>
        <w:pStyle w:val="51"/>
      </w:pPr>
      <w:r>
        <w:t>NOTE</w:t>
      </w:r>
      <w:r>
        <w:rPr>
          <w:lang w:val="en-US"/>
        </w:rPr>
        <w:t xml:space="preserve"> 1</w:t>
      </w:r>
      <w:r>
        <w:t>:</w:t>
      </w:r>
      <w:r>
        <w:tab/>
      </w:r>
      <w:r>
        <w:rPr>
          <w:lang w:val="en-US"/>
        </w:rPr>
        <w:t xml:space="preserve">A </w:t>
      </w:r>
      <w:r>
        <w:t xml:space="preserve">UE </w:t>
      </w:r>
      <w:r>
        <w:rPr>
          <w:lang w:val="en-US"/>
        </w:rPr>
        <w:t>needs to</w:t>
      </w:r>
      <w:r>
        <w:t xml:space="preserve"> be authorized</w:t>
      </w:r>
      <w:r>
        <w:rPr>
          <w:lang w:val="en-US"/>
        </w:rPr>
        <w:t xml:space="preserve"> by the MNO</w:t>
      </w:r>
      <w:r>
        <w:t xml:space="preserve"> to use 5G LAN-type service before </w:t>
      </w:r>
      <w:r>
        <w:rPr>
          <w:lang w:val="en-US"/>
        </w:rPr>
        <w:t>it can be added</w:t>
      </w:r>
      <w:r>
        <w:t xml:space="preserve"> to a</w:t>
      </w:r>
      <w:r>
        <w:rPr>
          <w:lang w:val="en-US"/>
        </w:rPr>
        <w:t>ny</w:t>
      </w:r>
      <w:r>
        <w:t xml:space="preserve"> </w:t>
      </w:r>
      <w:r>
        <w:rPr>
          <w:lang w:val="en-US"/>
        </w:rPr>
        <w:t>5G LAN-VN</w:t>
      </w:r>
      <w:r>
        <w:t>.</w:t>
      </w:r>
    </w:p>
    <w:p>
      <w:pPr>
        <w:pStyle w:val="51"/>
      </w:pPr>
      <w:r>
        <w:t xml:space="preserve">NOTE 2: </w:t>
      </w:r>
      <w:r>
        <w:tab/>
      </w:r>
      <w:r>
        <w:rPr>
          <w:lang w:val="en-US"/>
        </w:rPr>
        <w:t>some</w:t>
      </w:r>
      <w:r>
        <w:t xml:space="preserve"> use cases will require user permission for </w:t>
      </w:r>
      <w:r>
        <w:rPr>
          <w:lang w:val="en-US"/>
        </w:rPr>
        <w:t>a</w:t>
      </w:r>
      <w:r>
        <w:t xml:space="preserve"> UE to be added to a 5G LAN-VN.</w:t>
      </w:r>
    </w:p>
    <w:p>
      <w:r>
        <w:t>The 5G system shall enable the network operator to add an authorized UE to multiple independent 5G LAN-VNs.</w:t>
      </w:r>
    </w:p>
    <w:p>
      <w:pPr>
        <w:rPr>
          <w:lang w:val="en-US"/>
        </w:rPr>
      </w:pPr>
      <w:r>
        <w:rPr>
          <w:lang w:val="en-US"/>
        </w:rPr>
        <w:t>The 5G network shall enable the network operator to remove one or more UEs from an existing 5G LAN-VN.</w:t>
      </w:r>
    </w:p>
    <w:p>
      <w:pPr>
        <w:pStyle w:val="51"/>
        <w:rPr>
          <w:lang w:val="en-US"/>
        </w:rPr>
      </w:pPr>
      <w:r>
        <w:t>NOTE</w:t>
      </w:r>
      <w:r>
        <w:rPr>
          <w:lang w:val="en-US"/>
        </w:rPr>
        <w:t xml:space="preserve"> 3</w:t>
      </w:r>
      <w:r>
        <w:t>:</w:t>
      </w:r>
      <w:r>
        <w:tab/>
      </w:r>
      <w:r>
        <w:t xml:space="preserve">Removing a UE from a 5G LAN-VN </w:t>
      </w:r>
      <w:r>
        <w:rPr>
          <w:lang w:val="en-US"/>
        </w:rPr>
        <w:t>does</w:t>
      </w:r>
      <w:r>
        <w:t xml:space="preserve"> not have impact on other 5G LAN-</w:t>
      </w:r>
      <w:r>
        <w:rPr>
          <w:lang w:val="en-US"/>
        </w:rPr>
        <w:t>VNs that the UE is a member of.</w:t>
      </w:r>
    </w:p>
    <w:p>
      <w:r>
        <w:t>The 5G system shall enable the network operator to configure a 5G LAN-VN that is available only within a geographical area.</w:t>
      </w:r>
    </w:p>
    <w:p>
      <w:r>
        <w:t xml:space="preserve">Based on MNO policy, the 5G network shall provide suitable means to allow an authorised third party to </w:t>
      </w:r>
    </w:p>
    <w:p>
      <w:pPr>
        <w:pStyle w:val="49"/>
      </w:pPr>
      <w:r>
        <w:t>-</w:t>
      </w:r>
      <w:r>
        <w:tab/>
      </w:r>
      <w:r>
        <w:t xml:space="preserve">monitor changes in QoS policy that pertains to LAN-VN performance; </w:t>
      </w:r>
    </w:p>
    <w:p>
      <w:pPr>
        <w:pStyle w:val="49"/>
      </w:pPr>
      <w:r>
        <w:t>-</w:t>
      </w:r>
      <w:r>
        <w:tab/>
      </w:r>
      <w:r>
        <w:t>configure and receive information regarding the achieved performance for a specific UE;</w:t>
      </w:r>
    </w:p>
    <w:p>
      <w:pPr>
        <w:pStyle w:val="49"/>
      </w:pPr>
      <w:r>
        <w:t>-</w:t>
      </w:r>
      <w:r>
        <w:tab/>
      </w:r>
      <w:r>
        <w:t>configure and receive information regarding the achieved performance for a specific network</w:t>
      </w:r>
      <w:ins w:id="0" w:author="CMCC01" w:date="2024-08-01T16:06:28Z">
        <w:r>
          <w:rPr>
            <w:rFonts w:hint="eastAsia" w:eastAsia="宋体"/>
            <w:lang w:val="en-US" w:eastAsia="zh-CN"/>
          </w:rPr>
          <w:t xml:space="preserve"> </w:t>
        </w:r>
      </w:ins>
      <w:ins w:id="1" w:author="CMCC01" w:date="2024-08-01T16:06:25Z">
        <w:r>
          <w:rPr/>
          <w:t>(</w:t>
        </w:r>
      </w:ins>
      <w:ins w:id="2" w:author="CMCC01" w:date="2024-08-01T16:06:25Z">
        <w:r>
          <w:rPr>
            <w:rFonts w:hint="eastAsia"/>
          </w:rPr>
          <w:t>e.g,</w:t>
        </w:r>
      </w:ins>
      <w:ins w:id="3" w:author="CMCC02" w:date="2024-08-21T22:27:31Z">
        <w:r>
          <w:rPr>
            <w:rFonts w:hint="eastAsia" w:eastAsia="宋体"/>
            <w:lang w:val="en-US" w:eastAsia="zh-CN"/>
          </w:rPr>
          <w:t xml:space="preserve"> </w:t>
        </w:r>
      </w:ins>
      <w:ins w:id="4" w:author="CMCC01" w:date="2024-08-01T16:06:25Z">
        <w:r>
          <w:rPr>
            <w:rFonts w:hint="eastAsia"/>
          </w:rPr>
          <w:t>number of active UEs, UE status</w:t>
        </w:r>
      </w:ins>
      <w:ins w:id="5" w:author="CMCC02" w:date="2024-08-21T22:26:22Z">
        <w:r>
          <w:rPr>
            <w:rFonts w:hint="eastAsia" w:eastAsia="宋体"/>
            <w:lang w:val="en-US" w:eastAsia="zh-CN"/>
          </w:rPr>
          <w:t xml:space="preserve"> </w:t>
        </w:r>
      </w:ins>
      <w:ins w:id="6" w:author="CMCC02" w:date="2024-08-21T22:26:20Z">
        <w:r>
          <w:rPr>
            <w:rFonts w:hint="eastAsia" w:eastAsia="宋体"/>
            <w:lang w:val="en-US" w:eastAsia="zh-CN"/>
          </w:rPr>
          <w:t>(</w:t>
        </w:r>
      </w:ins>
      <w:ins w:id="7" w:author="CMCC02" w:date="2024-08-21T22:26:24Z">
        <w:r>
          <w:rPr>
            <w:rFonts w:hint="eastAsia" w:eastAsia="宋体"/>
            <w:lang w:val="en-US" w:eastAsia="zh-CN"/>
          </w:rPr>
          <w:t>conn</w:t>
        </w:r>
      </w:ins>
      <w:ins w:id="8" w:author="CMCC02" w:date="2024-08-21T22:26:25Z">
        <w:r>
          <w:rPr>
            <w:rFonts w:hint="eastAsia" w:eastAsia="宋体"/>
            <w:lang w:val="en-US" w:eastAsia="zh-CN"/>
          </w:rPr>
          <w:t>e</w:t>
        </w:r>
      </w:ins>
      <w:ins w:id="9" w:author="CMCC02" w:date="2024-08-21T22:26:26Z">
        <w:r>
          <w:rPr>
            <w:rFonts w:hint="eastAsia" w:eastAsia="宋体"/>
            <w:lang w:val="en-US" w:eastAsia="zh-CN"/>
          </w:rPr>
          <w:t>ct</w:t>
        </w:r>
      </w:ins>
      <w:ins w:id="10" w:author="CMCC02" w:date="2024-08-21T22:26:28Z">
        <w:r>
          <w:rPr>
            <w:rFonts w:hint="eastAsia" w:eastAsia="宋体"/>
            <w:lang w:val="en-US" w:eastAsia="zh-CN"/>
          </w:rPr>
          <w:t>ion s</w:t>
        </w:r>
      </w:ins>
      <w:ins w:id="11" w:author="CMCC02" w:date="2024-08-21T22:26:29Z">
        <w:r>
          <w:rPr>
            <w:rFonts w:hint="eastAsia" w:eastAsia="宋体"/>
            <w:lang w:val="en-US" w:eastAsia="zh-CN"/>
          </w:rPr>
          <w:t>tat</w:t>
        </w:r>
      </w:ins>
      <w:ins w:id="12" w:author="CMCC02" w:date="2024-08-21T22:26:32Z">
        <w:r>
          <w:rPr>
            <w:rFonts w:hint="eastAsia" w:eastAsia="宋体"/>
            <w:lang w:val="en-US" w:eastAsia="zh-CN"/>
          </w:rPr>
          <w:t>us</w:t>
        </w:r>
      </w:ins>
      <w:ins w:id="13" w:author="CMCC02" w:date="2024-08-21T22:26:20Z">
        <w:r>
          <w:rPr>
            <w:rFonts w:hint="eastAsia" w:eastAsia="宋体"/>
            <w:lang w:val="en-US" w:eastAsia="zh-CN"/>
          </w:rPr>
          <w:t>)</w:t>
        </w:r>
      </w:ins>
      <w:ins w:id="14" w:author="CMCC01" w:date="2024-08-01T16:06:25Z">
        <w:r>
          <w:rPr>
            <w:rFonts w:hint="eastAsia"/>
          </w:rPr>
          <w:t xml:space="preserve"> change event</w:t>
        </w:r>
      </w:ins>
      <w:ins w:id="15" w:author="CMCC01" w:date="2024-08-01T16:06:25Z">
        <w:r>
          <w:rPr>
            <w:rFonts w:hint="eastAsia" w:eastAsia="宋体"/>
            <w:lang w:val="en-US" w:eastAsia="zh-CN"/>
          </w:rPr>
          <w:t>s</w:t>
        </w:r>
      </w:ins>
      <w:ins w:id="16" w:author="CMCC01" w:date="2024-08-01T16:06:25Z">
        <w:r>
          <w:rPr>
            <w:rFonts w:hint="eastAsia"/>
          </w:rPr>
          <w:t xml:space="preserve"> </w:t>
        </w:r>
      </w:ins>
      <w:ins w:id="17" w:author="CMCC01" w:date="2024-08-01T16:06:41Z">
        <w:r>
          <w:rPr>
            <w:rFonts w:hint="eastAsia" w:eastAsia="宋体"/>
            <w:lang w:val="en-US" w:eastAsia="zh-CN"/>
          </w:rPr>
          <w:t>in</w:t>
        </w:r>
      </w:ins>
      <w:ins w:id="18" w:author="CMCC01" w:date="2024-08-01T16:06:42Z">
        <w:r>
          <w:rPr>
            <w:rFonts w:hint="eastAsia" w:eastAsia="宋体"/>
            <w:lang w:val="en-US" w:eastAsia="zh-CN"/>
          </w:rPr>
          <w:t xml:space="preserve"> </w:t>
        </w:r>
      </w:ins>
      <w:ins w:id="19" w:author="CMCC01" w:date="2024-08-01T16:07:59Z">
        <w:r>
          <w:rPr>
            <w:rFonts w:hint="eastAsia" w:eastAsia="宋体"/>
            <w:lang w:val="en-US" w:eastAsia="zh-CN"/>
          </w:rPr>
          <w:t>5</w:t>
        </w:r>
      </w:ins>
      <w:ins w:id="20" w:author="CMCC01" w:date="2024-08-01T16:08:01Z">
        <w:r>
          <w:rPr>
            <w:rFonts w:hint="eastAsia" w:eastAsia="宋体"/>
            <w:lang w:val="en-US" w:eastAsia="zh-CN"/>
          </w:rPr>
          <w:t xml:space="preserve">G </w:t>
        </w:r>
      </w:ins>
      <w:ins w:id="21" w:author="CMCC01" w:date="2024-08-01T16:06:48Z">
        <w:r>
          <w:rPr>
            <w:rFonts w:hint="eastAsia" w:eastAsia="宋体"/>
            <w:lang w:val="en-US" w:eastAsia="zh-CN"/>
          </w:rPr>
          <w:t>LAN-VN</w:t>
        </w:r>
      </w:ins>
      <w:ins w:id="22" w:author="CMCC01" w:date="2024-08-01T16:06:25Z">
        <w:r>
          <w:rPr/>
          <w:t>)</w:t>
        </w:r>
      </w:ins>
      <w:r>
        <w:t>;</w:t>
      </w:r>
    </w:p>
    <w:p>
      <w:pPr>
        <w:pStyle w:val="49"/>
      </w:pPr>
      <w:r>
        <w:t>-</w:t>
      </w:r>
      <w:r>
        <w:tab/>
      </w:r>
      <w:r>
        <w:t xml:space="preserve">receive notification of changes in specific configuration aspects of the UE in the VN (e.g., changes in group membership information.) </w:t>
      </w:r>
    </w:p>
    <w:p>
      <w:pPr>
        <w:keepNext/>
        <w:keepLines/>
        <w:spacing w:before="180"/>
        <w:ind w:left="1134" w:hanging="1134"/>
        <w:outlineLvl w:val="1"/>
        <w:rPr>
          <w:ins w:id="23" w:author="CMCC01" w:date="2024-08-04T17:24:51Z"/>
        </w:rPr>
      </w:pPr>
      <w:r>
        <w:rPr>
          <w:rFonts w:ascii="Arial" w:hAnsi="Arial"/>
          <w:sz w:val="32"/>
        </w:rPr>
        <w:t xml:space="preserve">*****************  </w:t>
      </w:r>
      <w:r>
        <w:rPr>
          <w:rFonts w:hint="eastAsia" w:ascii="Arial" w:hAnsi="Arial" w:eastAsia="宋体"/>
          <w:sz w:val="32"/>
          <w:lang w:val="en-US" w:eastAsia="zh-CN"/>
        </w:rPr>
        <w:t>Start of</w:t>
      </w:r>
      <w:r>
        <w:rPr>
          <w:rFonts w:ascii="Arial" w:hAnsi="Arial"/>
          <w:sz w:val="32"/>
        </w:rPr>
        <w:t xml:space="preserve"> </w:t>
      </w:r>
      <w:r>
        <w:rPr>
          <w:rFonts w:hint="eastAsia" w:ascii="Arial" w:hAnsi="Arial" w:eastAsia="宋体"/>
          <w:sz w:val="32"/>
          <w:lang w:val="en-US" w:eastAsia="zh-CN"/>
        </w:rPr>
        <w:t>Next</w:t>
      </w:r>
      <w:r>
        <w:rPr>
          <w:rFonts w:ascii="Arial" w:hAnsi="Arial"/>
          <w:sz w:val="32"/>
        </w:rPr>
        <w:t xml:space="preserve"> Change ***********************</w:t>
      </w:r>
    </w:p>
    <w:p>
      <w:pPr>
        <w:pStyle w:val="5"/>
      </w:pPr>
      <w:bookmarkStart w:id="6" w:name="_Toc61885684"/>
      <w:bookmarkStart w:id="7" w:name="_Toc52638780"/>
      <w:bookmarkStart w:id="8" w:name="_Toc170458103"/>
      <w:bookmarkStart w:id="9" w:name="_Toc59116865"/>
      <w:bookmarkStart w:id="10" w:name="_Toc45387735"/>
      <w:r>
        <w:t>6.26.2.9</w:t>
      </w:r>
      <w:r>
        <w:tab/>
      </w:r>
      <w:r>
        <w:t>Service exposure</w:t>
      </w:r>
      <w:bookmarkEnd w:id="6"/>
      <w:bookmarkEnd w:id="7"/>
      <w:bookmarkEnd w:id="8"/>
      <w:bookmarkEnd w:id="9"/>
      <w:bookmarkEnd w:id="10"/>
    </w:p>
    <w:p>
      <w:pPr>
        <w:rPr>
          <w:lang w:val="en-US"/>
        </w:rPr>
      </w:pPr>
      <w:r>
        <w:rPr>
          <w:lang w:val="en-US"/>
        </w:rPr>
        <w:t>Based on MNO policy, the 5G network shall provide suitable APIs to allow a trusted third-party to create/remove a 5G LAN-VN.</w:t>
      </w:r>
    </w:p>
    <w:p>
      <w:pPr>
        <w:rPr>
          <w:lang w:val="en-US"/>
        </w:rPr>
      </w:pPr>
      <w:r>
        <w:rPr>
          <w:lang w:val="en-US"/>
        </w:rPr>
        <w:t>Based on MNO policy, the 5G network shall provide suitable APIs to allow a trusted third-party to manage a 5G LAN-VN dedicated for the usage by the trusted third-party, including the address allocation.</w:t>
      </w:r>
    </w:p>
    <w:p>
      <w:pPr>
        <w:suppressAutoHyphens/>
        <w:spacing w:line="276" w:lineRule="auto"/>
        <w:rPr>
          <w:rFonts w:eastAsia="Calibri"/>
          <w:lang w:val="en-US"/>
        </w:rPr>
      </w:pPr>
      <w:r>
        <w:rPr>
          <w:rFonts w:eastAsia="Calibri"/>
          <w:lang w:val="en-US"/>
        </w:rPr>
        <w:t>Based on MNO policy, the 5G network shall provide suitable APIs to allow a trusted third-party to authorize/deauthorize UEs to access a specific 5G LAN-VN managed by the trusted third-party.</w:t>
      </w:r>
    </w:p>
    <w:p>
      <w:pPr>
        <w:rPr>
          <w:lang w:val="en-US"/>
        </w:rPr>
      </w:pPr>
      <w:r>
        <w:rPr>
          <w:lang w:val="en-US"/>
        </w:rPr>
        <w:t xml:space="preserve">Based on MNO policy, the 5G network shall provide suitable APIs to allow a trusted third-party to add/remove an authorized UE to/from a specific 5G LAN-VN </w:t>
      </w:r>
      <w:bookmarkStart w:id="11" w:name="OLE_LINK1"/>
      <w:r>
        <w:rPr>
          <w:lang w:val="en-US"/>
        </w:rPr>
        <w:t>managed by the trusted third-party</w:t>
      </w:r>
      <w:bookmarkEnd w:id="11"/>
      <w:r>
        <w:rPr>
          <w:lang w:val="en-US"/>
        </w:rPr>
        <w:t>.</w:t>
      </w:r>
    </w:p>
    <w:p>
      <w:pPr>
        <w:rPr>
          <w:ins w:id="24" w:author="CMCC02" w:date="2024-08-20T23:39:14Z"/>
          <w:rFonts w:hint="eastAsia" w:eastAsiaTheme="minorEastAsia"/>
          <w:lang w:eastAsia="zh-CN"/>
        </w:rPr>
      </w:pPr>
      <w:ins w:id="25" w:author="CMCC01" w:date="2024-08-04T17:26:31Z">
        <w:r>
          <w:rPr>
            <w:rFonts w:hint="eastAsia"/>
            <w:lang w:val="en-US"/>
          </w:rPr>
          <w:t xml:space="preserve">Based on </w:t>
        </w:r>
      </w:ins>
      <w:ins w:id="26" w:author="CMCC01" w:date="2024-08-07T06:40:08Z">
        <w:r>
          <w:rPr>
            <w:rFonts w:hint="eastAsia" w:eastAsia="宋体"/>
            <w:lang w:val="en-US" w:eastAsia="zh-CN"/>
          </w:rPr>
          <w:t>M</w:t>
        </w:r>
      </w:ins>
      <w:ins w:id="27" w:author="CMCC01" w:date="2024-08-07T06:40:09Z">
        <w:r>
          <w:rPr>
            <w:rFonts w:hint="eastAsia" w:eastAsia="宋体"/>
            <w:lang w:val="en-US" w:eastAsia="zh-CN"/>
          </w:rPr>
          <w:t>N</w:t>
        </w:r>
      </w:ins>
      <w:ins w:id="28" w:author="CMCC01" w:date="2024-08-07T06:40:10Z">
        <w:r>
          <w:rPr>
            <w:rFonts w:hint="eastAsia" w:eastAsia="宋体"/>
            <w:lang w:val="en-US" w:eastAsia="zh-CN"/>
          </w:rPr>
          <w:t>O</w:t>
        </w:r>
      </w:ins>
      <w:ins w:id="29" w:author="CMCC01" w:date="2024-08-04T17:26:31Z">
        <w:r>
          <w:rPr>
            <w:rFonts w:hint="eastAsia"/>
            <w:lang w:val="en-US"/>
          </w:rPr>
          <w:t xml:space="preserve"> polic</w:t>
        </w:r>
      </w:ins>
      <w:ins w:id="30" w:author="CMCC01" w:date="2024-08-07T06:40:21Z">
        <w:r>
          <w:rPr>
            <w:rFonts w:hint="eastAsia" w:eastAsia="宋体"/>
            <w:lang w:val="en-US" w:eastAsia="zh-CN"/>
          </w:rPr>
          <w:t>y</w:t>
        </w:r>
      </w:ins>
      <w:ins w:id="31" w:author="CMCC01" w:date="2024-08-04T17:26:31Z">
        <w:r>
          <w:rPr>
            <w:rFonts w:hint="eastAsia"/>
            <w:lang w:val="en-US"/>
          </w:rPr>
          <w:t>, the 5G network shall provid</w:t>
        </w:r>
      </w:ins>
      <w:ins w:id="32" w:author="CMCC02" w:date="2024-08-23T21:45:41Z">
        <w:r>
          <w:rPr>
            <w:rFonts w:hint="eastAsia" w:eastAsia="宋体"/>
            <w:lang w:val="en-US" w:eastAsia="zh-CN"/>
          </w:rPr>
          <w:t>e</w:t>
        </w:r>
      </w:ins>
      <w:ins w:id="33" w:author="CMCC01" w:date="2024-08-09T08:39:24Z">
        <w:r>
          <w:rPr>
            <w:rFonts w:hint="eastAsia" w:eastAsia="宋体"/>
            <w:lang w:val="en-US" w:eastAsia="zh-CN"/>
          </w:rPr>
          <w:t xml:space="preserve"> </w:t>
        </w:r>
      </w:ins>
      <w:ins w:id="34" w:author="CMCC01" w:date="2024-08-07T06:48:05Z">
        <w:r>
          <w:rPr>
            <w:rFonts w:hint="eastAsia" w:eastAsia="宋体"/>
            <w:lang w:val="en-US" w:eastAsia="zh-CN"/>
          </w:rPr>
          <w:t>su</w:t>
        </w:r>
      </w:ins>
      <w:ins w:id="35" w:author="CMCC01" w:date="2024-08-07T06:48:06Z">
        <w:r>
          <w:rPr>
            <w:rFonts w:hint="eastAsia" w:eastAsia="宋体"/>
            <w:lang w:val="en-US" w:eastAsia="zh-CN"/>
          </w:rPr>
          <w:t>i</w:t>
        </w:r>
      </w:ins>
      <w:ins w:id="36" w:author="CMCC01" w:date="2024-08-07T06:48:09Z">
        <w:r>
          <w:rPr>
            <w:rFonts w:hint="eastAsia" w:eastAsia="宋体"/>
            <w:lang w:val="en-US" w:eastAsia="zh-CN"/>
          </w:rPr>
          <w:t>tabl</w:t>
        </w:r>
      </w:ins>
      <w:ins w:id="37" w:author="CMCC01" w:date="2024-08-04T17:26:31Z">
        <w:r>
          <w:rPr>
            <w:rFonts w:hint="eastAsia"/>
            <w:lang w:val="en-US"/>
          </w:rPr>
          <w:t xml:space="preserve">e APIs </w:t>
        </w:r>
      </w:ins>
      <w:ins w:id="38" w:author="CMCC01" w:date="2024-08-07T06:48:21Z">
        <w:r>
          <w:rPr>
            <w:rFonts w:hint="eastAsia" w:eastAsia="宋体"/>
            <w:lang w:val="en-US" w:eastAsia="zh-CN"/>
          </w:rPr>
          <w:t xml:space="preserve">to </w:t>
        </w:r>
      </w:ins>
      <w:ins w:id="39" w:author="CMCC01" w:date="2024-08-07T06:48:37Z">
        <w:r>
          <w:rPr>
            <w:lang w:val="en-US"/>
          </w:rPr>
          <w:t>allow a trusted third-party</w:t>
        </w:r>
      </w:ins>
      <w:ins w:id="40" w:author="CMCC01" w:date="2024-08-07T06:48:39Z">
        <w:r>
          <w:rPr>
            <w:rFonts w:hint="eastAsia" w:eastAsia="宋体"/>
            <w:lang w:val="en-US" w:eastAsia="zh-CN"/>
          </w:rPr>
          <w:t xml:space="preserve"> </w:t>
        </w:r>
      </w:ins>
      <w:ins w:id="41" w:author="CMCC01" w:date="2024-08-07T06:48:55Z">
        <w:r>
          <w:rPr>
            <w:rFonts w:hint="eastAsia" w:eastAsia="宋体"/>
            <w:lang w:val="en-US" w:eastAsia="zh-CN"/>
          </w:rPr>
          <w:t>to</w:t>
        </w:r>
      </w:ins>
      <w:ins w:id="42" w:author="CMCC02" w:date="2024-08-20T23:39:14Z">
        <w:r>
          <w:rPr>
            <w:rFonts w:hint="eastAsia" w:eastAsiaTheme="minorEastAsia"/>
            <w:lang w:eastAsia="zh-CN"/>
          </w:rPr>
          <w:t xml:space="preserve"> </w:t>
        </w:r>
      </w:ins>
      <w:ins w:id="43" w:author="CMCC02" w:date="2024-08-21T22:27:50Z">
        <w:r>
          <w:rPr>
            <w:rFonts w:hint="eastAsia" w:eastAsiaTheme="minorEastAsia"/>
            <w:lang w:eastAsia="zh-CN"/>
          </w:rPr>
          <w:t xml:space="preserve">dynamically adjust </w:t>
        </w:r>
      </w:ins>
      <w:ins w:id="44" w:author="CMCC02" w:date="2024-08-21T22:27:50Z">
        <w:r>
          <w:rPr>
            <w:rFonts w:hint="eastAsia" w:eastAsiaTheme="minorEastAsia"/>
            <w:lang w:val="en-US" w:eastAsia="zh-CN"/>
          </w:rPr>
          <w:t>partial</w:t>
        </w:r>
      </w:ins>
      <w:ins w:id="45" w:author="CMCC02" w:date="2024-08-21T22:27:50Z">
        <w:r>
          <w:rPr>
            <w:rFonts w:hint="eastAsia" w:eastAsiaTheme="minorEastAsia"/>
            <w:lang w:eastAsia="zh-CN"/>
          </w:rPr>
          <w:t xml:space="preserve"> configuration</w:t>
        </w:r>
      </w:ins>
      <w:ins w:id="46" w:author="CMCC02" w:date="2024-08-21T22:27:50Z">
        <w:r>
          <w:rPr>
            <w:rFonts w:eastAsiaTheme="minorEastAsia"/>
            <w:lang w:eastAsia="zh-CN"/>
          </w:rPr>
          <w:t xml:space="preserve"> (i.e. </w:t>
        </w:r>
      </w:ins>
      <w:ins w:id="47" w:author="CMCC02" w:date="2024-08-21T22:27:50Z">
        <w:r>
          <w:rPr/>
          <w:t>create, manage, and remove</w:t>
        </w:r>
      </w:ins>
      <w:ins w:id="48" w:author="CMCC02" w:date="2024-08-21T22:27:50Z">
        <w:r>
          <w:rPr>
            <w:rFonts w:eastAsiaTheme="minorEastAsia"/>
            <w:lang w:eastAsia="zh-CN"/>
          </w:rPr>
          <w:t>)</w:t>
        </w:r>
      </w:ins>
      <w:ins w:id="49" w:author="CMCC02" w:date="2024-08-21T22:27:50Z">
        <w:r>
          <w:rPr>
            <w:rFonts w:hint="eastAsia" w:eastAsiaTheme="minorEastAsia"/>
            <w:lang w:eastAsia="zh-CN"/>
          </w:rPr>
          <w:t xml:space="preserve"> of the 5G LAN</w:t>
        </w:r>
      </w:ins>
      <w:ins w:id="50" w:author="CMCC02" w:date="2024-08-21T22:27:50Z">
        <w:r>
          <w:rPr>
            <w:rFonts w:eastAsiaTheme="minorEastAsia"/>
            <w:lang w:eastAsia="zh-CN"/>
          </w:rPr>
          <w:t>s</w:t>
        </w:r>
      </w:ins>
      <w:ins w:id="51" w:author="CMCC02" w:date="2024-08-21T22:27:50Z">
        <w:r>
          <w:rPr>
            <w:rFonts w:hint="eastAsia" w:eastAsiaTheme="minorEastAsia"/>
            <w:lang w:eastAsia="zh-CN"/>
          </w:rPr>
          <w:t xml:space="preserve"> </w:t>
        </w:r>
      </w:ins>
      <w:ins w:id="52" w:author="CMCC02" w:date="2024-08-21T22:27:50Z">
        <w:r>
          <w:rPr>
            <w:rFonts w:eastAsiaTheme="minorEastAsia"/>
            <w:lang w:eastAsia="zh-CN"/>
          </w:rPr>
          <w:t>for</w:t>
        </w:r>
      </w:ins>
      <w:ins w:id="53" w:author="CMCC02" w:date="2024-08-21T22:27:50Z">
        <w:r>
          <w:rPr>
            <w:rFonts w:hint="eastAsia" w:eastAsiaTheme="minorEastAsia"/>
            <w:lang w:eastAsia="zh-CN"/>
          </w:rPr>
          <w:t xml:space="preserve"> the </w:t>
        </w:r>
      </w:ins>
      <w:ins w:id="54" w:author="CMCC02" w:date="2024-08-21T22:27:50Z">
        <w:r>
          <w:rPr>
            <w:rFonts w:eastAsiaTheme="minorEastAsia"/>
            <w:lang w:eastAsia="zh-CN"/>
          </w:rPr>
          <w:t xml:space="preserve">authorized </w:t>
        </w:r>
      </w:ins>
      <w:ins w:id="55" w:author="CMCC02" w:date="2024-08-21T22:27:50Z">
        <w:r>
          <w:rPr>
            <w:rFonts w:hint="eastAsia"/>
          </w:rPr>
          <w:t>5G LAN-VN</w:t>
        </w:r>
      </w:ins>
      <w:ins w:id="56" w:author="CMCC02" w:date="2024-08-21T22:27:50Z">
        <w:r>
          <w:rPr>
            <w:rFonts w:hint="eastAsia" w:eastAsia="宋体"/>
            <w:lang w:val="en-US" w:eastAsia="zh-CN"/>
          </w:rPr>
          <w:t xml:space="preserve"> </w:t>
        </w:r>
      </w:ins>
      <w:ins w:id="57" w:author="CMCC02" w:date="2024-08-21T22:27:50Z">
        <w:r>
          <w:rPr>
            <w:rFonts w:hint="eastAsia" w:eastAsiaTheme="minorEastAsia"/>
            <w:lang w:eastAsia="zh-CN"/>
          </w:rPr>
          <w:t>capable UEs</w:t>
        </w:r>
      </w:ins>
      <w:ins w:id="58" w:author="CMCC02" w:date="2024-08-20T23:39:14Z">
        <w:r>
          <w:rPr>
            <w:rFonts w:hint="eastAsia" w:eastAsiaTheme="minorEastAsia"/>
            <w:lang w:eastAsia="zh-CN"/>
          </w:rPr>
          <w:t>.</w:t>
        </w:r>
      </w:ins>
    </w:p>
    <w:p>
      <w:pPr>
        <w:pStyle w:val="51"/>
        <w:rPr>
          <w:ins w:id="59" w:author="CMCC02" w:date="2024-08-20T23:39:14Z"/>
          <w:rFonts w:hint="eastAsia" w:eastAsia="宋体"/>
          <w:lang w:val="en-US" w:eastAsia="zh-CN"/>
        </w:rPr>
      </w:pPr>
      <w:ins w:id="60" w:author="CMCC02" w:date="2024-08-20T23:39:14Z">
        <w:r>
          <w:rPr>
            <w:rFonts w:hint="eastAsia"/>
            <w:lang w:val="en-US" w:eastAsia="zh-CN"/>
          </w:rPr>
          <w:t>NOTE:</w:t>
        </w:r>
      </w:ins>
      <w:ins w:id="61" w:author="CMCC02" w:date="2024-08-20T23:39:14Z">
        <w:r>
          <w:rPr>
            <w:rFonts w:hint="eastAsia"/>
            <w:lang w:val="en-US" w:eastAsia="zh-CN"/>
          </w:rPr>
          <w:tab/>
        </w:r>
      </w:ins>
      <w:ins w:id="62" w:author="CMCC02" w:date="2024-08-20T23:46:17Z">
        <w:r>
          <w:rPr>
            <w:rFonts w:hint="eastAsia"/>
          </w:rPr>
          <w:t>5G LAN-VN capable UEs means the operator authori</w:t>
        </w:r>
      </w:ins>
      <w:ins w:id="63" w:author="CMCC02" w:date="2024-08-20T23:46:26Z">
        <w:r>
          <w:rPr>
            <w:rFonts w:hint="eastAsia" w:eastAsia="宋体"/>
            <w:lang w:val="en-US" w:eastAsia="zh-CN"/>
          </w:rPr>
          <w:t>z</w:t>
        </w:r>
      </w:ins>
      <w:ins w:id="64" w:author="CMCC02" w:date="2024-08-20T23:46:17Z">
        <w:r>
          <w:rPr>
            <w:rFonts w:hint="eastAsia"/>
          </w:rPr>
          <w:t>e</w:t>
        </w:r>
      </w:ins>
      <w:ins w:id="65" w:author="CMCC02" w:date="2024-08-20T23:46:39Z">
        <w:r>
          <w:rPr>
            <w:rFonts w:hint="eastAsia" w:eastAsia="宋体"/>
            <w:lang w:val="en-US" w:eastAsia="zh-CN"/>
          </w:rPr>
          <w:t>s</w:t>
        </w:r>
      </w:ins>
      <w:ins w:id="66" w:author="CMCC02" w:date="2024-08-20T23:46:17Z">
        <w:r>
          <w:rPr>
            <w:rFonts w:hint="eastAsia"/>
          </w:rPr>
          <w:t xml:space="preserve"> UEs to use 5G LAN-type service. The joining to the 5G LAN-VN group and the configuration to the 5G LAN-VN can be dynamically configured by an </w:t>
        </w:r>
      </w:ins>
      <w:ins w:id="67" w:author="CMCC02" w:date="2024-08-20T23:47:29Z">
        <w:r>
          <w:rPr>
            <w:rFonts w:hint="eastAsia" w:eastAsia="宋体"/>
            <w:lang w:val="en-US" w:eastAsia="zh-CN"/>
          </w:rPr>
          <w:t>t</w:t>
        </w:r>
      </w:ins>
      <w:ins w:id="68" w:author="CMCC02" w:date="2024-08-20T23:47:30Z">
        <w:r>
          <w:rPr>
            <w:rFonts w:hint="eastAsia" w:eastAsia="宋体"/>
            <w:lang w:val="en-US" w:eastAsia="zh-CN"/>
          </w:rPr>
          <w:t>rust</w:t>
        </w:r>
      </w:ins>
      <w:ins w:id="69" w:author="CMCC02" w:date="2024-08-20T23:46:17Z">
        <w:r>
          <w:rPr>
            <w:rFonts w:hint="eastAsia"/>
          </w:rPr>
          <w:t>ed third party</w:t>
        </w:r>
      </w:ins>
      <w:ins w:id="70" w:author="CMCC02" w:date="2024-08-20T23:39:14Z">
        <w:r>
          <w:rPr>
            <w:rFonts w:hint="eastAsia" w:eastAsia="宋体"/>
            <w:lang w:val="en-US" w:eastAsia="zh-CN"/>
          </w:rPr>
          <w:t>.</w:t>
        </w:r>
      </w:ins>
    </w:p>
    <w:p>
      <w:pPr>
        <w:rPr>
          <w:rFonts w:hint="eastAsia"/>
          <w:lang w:val="en-US"/>
        </w:rPr>
      </w:pPr>
      <w:ins w:id="71" w:author="CMCC01" w:date="2024-08-04T17:26:31Z">
        <w:r>
          <w:rPr>
            <w:rFonts w:hint="eastAsia"/>
            <w:lang w:val="en-US"/>
          </w:rPr>
          <w:t xml:space="preserve"> </w:t>
        </w:r>
      </w:ins>
    </w:p>
    <w:p>
      <w:pPr>
        <w:keepNext/>
        <w:keepLines/>
        <w:spacing w:before="180"/>
        <w:ind w:left="1134" w:hanging="1134"/>
        <w:outlineLvl w:val="1"/>
        <w:rPr>
          <w:rFonts w:ascii="Arial" w:hAnsi="Arial"/>
          <w:sz w:val="32"/>
        </w:rPr>
      </w:pPr>
      <w:r>
        <w:rPr>
          <w:rFonts w:ascii="Arial" w:hAnsi="Arial"/>
          <w:sz w:val="32"/>
        </w:rPr>
        <w:t>*****************   End of Changes ***********************</w:t>
      </w:r>
    </w:p>
    <w:p>
      <w:pPr>
        <w:keepNext/>
        <w:keepLines/>
        <w:spacing w:before="180"/>
        <w:ind w:left="1134" w:hanging="1134"/>
        <w:outlineLvl w:val="1"/>
        <w:rPr>
          <w:rFonts w:ascii="Arial" w:hAnsi="Arial"/>
          <w:sz w:val="32"/>
        </w:rPr>
      </w:pPr>
    </w:p>
    <w:p>
      <w:pPr>
        <w:bidi w:val="0"/>
        <w:rPr>
          <w:rFonts w:ascii="Times New Roman" w:hAnsi="Times New Roman" w:eastAsia="Times New Roman" w:cs="Times New Roman"/>
          <w:lang w:val="en-GB" w:eastAsia="en-US" w:bidi="ar-SA"/>
        </w:rPr>
      </w:pPr>
    </w:p>
    <w:p>
      <w:pPr>
        <w:bidi w:val="0"/>
        <w:jc w:val="center"/>
        <w:rPr>
          <w:lang w:val="en-GB" w:eastAsia="en-US"/>
        </w:rPr>
      </w:pPr>
    </w:p>
    <w:sectPr>
      <w:headerReference r:id="rId6" w:type="first"/>
      <w:footerReference r:id="rId9" w:type="first"/>
      <w:headerReference r:id="rId4" w:type="default"/>
      <w:footerReference r:id="rId7" w:type="default"/>
      <w:headerReference r:id="rId5" w:type="even"/>
      <w:footerReference r:id="rId8" w:type="even"/>
      <w:pgSz w:w="11906" w:h="16838"/>
      <w:pgMar w:top="1418" w:right="1134" w:bottom="1134" w:left="1134" w:header="680" w:footer="567" w:gutter="0"/>
      <w:cols w:space="720" w:num="1"/>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ohit Devanagari">
    <w:altName w:val="Cambria"/>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Liberation Sans">
    <w:altName w:val="Arial"/>
    <w:panose1 w:val="00000000000000000000"/>
    <w:charset w:val="01"/>
    <w:family w:val="swiss"/>
    <w:pitch w:val="default"/>
    <w:sig w:usb0="00000000" w:usb1="00000000" w:usb2="00000000" w:usb3="00000000" w:csb0="00000000" w:csb1="00000000"/>
  </w:font>
  <w:font w:name="Noto Sans CJK SC">
    <w:altName w:val="Segoe Print"/>
    <w:panose1 w:val="00000000000000000000"/>
    <w:charset w:val="00"/>
    <w:family w:val="roman"/>
    <w:pitch w:val="default"/>
    <w:sig w:usb0="00000000" w:usb1="00000000" w:usb2="00000000" w:usb3="00000000" w:csb0="00000000" w:csb1="00000000"/>
  </w:font>
  <w:font w:name="MS LineDraw">
    <w:altName w:val="Courier New"/>
    <w:panose1 w:val="00000000000000000000"/>
    <w:charset w:val="02"/>
    <w:family w:val="moder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CMCC02">
    <w15:presenceInfo w15:providerId="None" w15:userId="CMC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284"/>
  <w:autoHyphenation/>
  <w:hyphenationZone w:val="425"/>
  <w:doNotHyphenateCaps/>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A93043"/>
    <w:rsid w:val="0000159B"/>
    <w:rsid w:val="0000401E"/>
    <w:rsid w:val="00004136"/>
    <w:rsid w:val="00012D56"/>
    <w:rsid w:val="00013801"/>
    <w:rsid w:val="00015AE1"/>
    <w:rsid w:val="000243EB"/>
    <w:rsid w:val="000263CF"/>
    <w:rsid w:val="00032259"/>
    <w:rsid w:val="000403A0"/>
    <w:rsid w:val="00042893"/>
    <w:rsid w:val="000451A0"/>
    <w:rsid w:val="000544E8"/>
    <w:rsid w:val="0005456F"/>
    <w:rsid w:val="00061010"/>
    <w:rsid w:val="000812EE"/>
    <w:rsid w:val="00085BC2"/>
    <w:rsid w:val="000951B7"/>
    <w:rsid w:val="000A19D1"/>
    <w:rsid w:val="000D336A"/>
    <w:rsid w:val="000D39FB"/>
    <w:rsid w:val="000D3C58"/>
    <w:rsid w:val="000E0AF5"/>
    <w:rsid w:val="000E2E5C"/>
    <w:rsid w:val="000F279D"/>
    <w:rsid w:val="000F3836"/>
    <w:rsid w:val="000F3A46"/>
    <w:rsid w:val="000F6BDC"/>
    <w:rsid w:val="00110BB0"/>
    <w:rsid w:val="00117070"/>
    <w:rsid w:val="00121BAE"/>
    <w:rsid w:val="0012337A"/>
    <w:rsid w:val="001233EE"/>
    <w:rsid w:val="0012541D"/>
    <w:rsid w:val="00134B7E"/>
    <w:rsid w:val="00141F1B"/>
    <w:rsid w:val="00145F79"/>
    <w:rsid w:val="00146017"/>
    <w:rsid w:val="0015376C"/>
    <w:rsid w:val="001611E1"/>
    <w:rsid w:val="00164D1D"/>
    <w:rsid w:val="00165F9D"/>
    <w:rsid w:val="0017065D"/>
    <w:rsid w:val="0017673E"/>
    <w:rsid w:val="00177241"/>
    <w:rsid w:val="001820E1"/>
    <w:rsid w:val="00183579"/>
    <w:rsid w:val="00186D71"/>
    <w:rsid w:val="001912C5"/>
    <w:rsid w:val="001B46DA"/>
    <w:rsid w:val="001C026E"/>
    <w:rsid w:val="001C1286"/>
    <w:rsid w:val="001C3B11"/>
    <w:rsid w:val="001D08DD"/>
    <w:rsid w:val="001D75AD"/>
    <w:rsid w:val="001E0485"/>
    <w:rsid w:val="001E0606"/>
    <w:rsid w:val="001E08F0"/>
    <w:rsid w:val="001E64BB"/>
    <w:rsid w:val="001F08E1"/>
    <w:rsid w:val="001F23D1"/>
    <w:rsid w:val="001F6ED4"/>
    <w:rsid w:val="00202644"/>
    <w:rsid w:val="002032C1"/>
    <w:rsid w:val="00205B7E"/>
    <w:rsid w:val="00212730"/>
    <w:rsid w:val="00216584"/>
    <w:rsid w:val="0022076E"/>
    <w:rsid w:val="00224DFB"/>
    <w:rsid w:val="0024606A"/>
    <w:rsid w:val="00246646"/>
    <w:rsid w:val="002518C2"/>
    <w:rsid w:val="00254692"/>
    <w:rsid w:val="00257F20"/>
    <w:rsid w:val="0026750E"/>
    <w:rsid w:val="00267672"/>
    <w:rsid w:val="00282A6E"/>
    <w:rsid w:val="00284FA1"/>
    <w:rsid w:val="00287B68"/>
    <w:rsid w:val="00293035"/>
    <w:rsid w:val="00294FE3"/>
    <w:rsid w:val="002A1666"/>
    <w:rsid w:val="002A19E7"/>
    <w:rsid w:val="002A5E36"/>
    <w:rsid w:val="002A6FF6"/>
    <w:rsid w:val="002B42BD"/>
    <w:rsid w:val="002B4F92"/>
    <w:rsid w:val="002B6795"/>
    <w:rsid w:val="002D120B"/>
    <w:rsid w:val="002D1BC0"/>
    <w:rsid w:val="002D2142"/>
    <w:rsid w:val="002D2F30"/>
    <w:rsid w:val="002D7122"/>
    <w:rsid w:val="002E55D1"/>
    <w:rsid w:val="002E6868"/>
    <w:rsid w:val="002E6EAD"/>
    <w:rsid w:val="002E7642"/>
    <w:rsid w:val="002F119E"/>
    <w:rsid w:val="002F5EA4"/>
    <w:rsid w:val="00300DD1"/>
    <w:rsid w:val="0030336F"/>
    <w:rsid w:val="00305CCD"/>
    <w:rsid w:val="00320915"/>
    <w:rsid w:val="003324B4"/>
    <w:rsid w:val="00334DBC"/>
    <w:rsid w:val="0034045E"/>
    <w:rsid w:val="00342C34"/>
    <w:rsid w:val="00343580"/>
    <w:rsid w:val="00353884"/>
    <w:rsid w:val="00353EA7"/>
    <w:rsid w:val="00353FF7"/>
    <w:rsid w:val="00360BFE"/>
    <w:rsid w:val="00390FB2"/>
    <w:rsid w:val="00394CA4"/>
    <w:rsid w:val="00394D63"/>
    <w:rsid w:val="00397519"/>
    <w:rsid w:val="003A4511"/>
    <w:rsid w:val="003A4794"/>
    <w:rsid w:val="003C4F80"/>
    <w:rsid w:val="003C7ADA"/>
    <w:rsid w:val="003D4045"/>
    <w:rsid w:val="003D5229"/>
    <w:rsid w:val="003D6956"/>
    <w:rsid w:val="003E27C6"/>
    <w:rsid w:val="003E2F10"/>
    <w:rsid w:val="003E31FA"/>
    <w:rsid w:val="003F139A"/>
    <w:rsid w:val="003F1426"/>
    <w:rsid w:val="003F65A9"/>
    <w:rsid w:val="0040071A"/>
    <w:rsid w:val="004062C6"/>
    <w:rsid w:val="004116B0"/>
    <w:rsid w:val="00420817"/>
    <w:rsid w:val="00420E44"/>
    <w:rsid w:val="00423E75"/>
    <w:rsid w:val="00430509"/>
    <w:rsid w:val="00431D3D"/>
    <w:rsid w:val="00432E65"/>
    <w:rsid w:val="00434156"/>
    <w:rsid w:val="00441AC1"/>
    <w:rsid w:val="00443ADD"/>
    <w:rsid w:val="004443F0"/>
    <w:rsid w:val="0044560A"/>
    <w:rsid w:val="0044782D"/>
    <w:rsid w:val="00450EE5"/>
    <w:rsid w:val="00454FB6"/>
    <w:rsid w:val="00460264"/>
    <w:rsid w:val="00466275"/>
    <w:rsid w:val="00476B0D"/>
    <w:rsid w:val="004913CD"/>
    <w:rsid w:val="004A1037"/>
    <w:rsid w:val="004A2556"/>
    <w:rsid w:val="004C0969"/>
    <w:rsid w:val="004C4812"/>
    <w:rsid w:val="004D65A7"/>
    <w:rsid w:val="004D6EBB"/>
    <w:rsid w:val="004E520B"/>
    <w:rsid w:val="004F1F83"/>
    <w:rsid w:val="004F4523"/>
    <w:rsid w:val="00515FAB"/>
    <w:rsid w:val="00521DCC"/>
    <w:rsid w:val="00522341"/>
    <w:rsid w:val="00522BF6"/>
    <w:rsid w:val="005243F5"/>
    <w:rsid w:val="00525F57"/>
    <w:rsid w:val="005279C7"/>
    <w:rsid w:val="00531CC4"/>
    <w:rsid w:val="00532348"/>
    <w:rsid w:val="00537E5B"/>
    <w:rsid w:val="00542CFB"/>
    <w:rsid w:val="00545B1F"/>
    <w:rsid w:val="0055100B"/>
    <w:rsid w:val="00575B34"/>
    <w:rsid w:val="00581CFB"/>
    <w:rsid w:val="00582B67"/>
    <w:rsid w:val="00582F6B"/>
    <w:rsid w:val="00590ABC"/>
    <w:rsid w:val="005951D9"/>
    <w:rsid w:val="00595A0F"/>
    <w:rsid w:val="005A2BB7"/>
    <w:rsid w:val="005A5D08"/>
    <w:rsid w:val="005B55C9"/>
    <w:rsid w:val="005D0F30"/>
    <w:rsid w:val="005D5DC1"/>
    <w:rsid w:val="005E1461"/>
    <w:rsid w:val="005E1ADC"/>
    <w:rsid w:val="005E1E18"/>
    <w:rsid w:val="005E3139"/>
    <w:rsid w:val="005F26E2"/>
    <w:rsid w:val="005F6720"/>
    <w:rsid w:val="005F7BA9"/>
    <w:rsid w:val="00602AAC"/>
    <w:rsid w:val="006030D5"/>
    <w:rsid w:val="006046D7"/>
    <w:rsid w:val="00605A8C"/>
    <w:rsid w:val="006144D1"/>
    <w:rsid w:val="00621EC4"/>
    <w:rsid w:val="00626800"/>
    <w:rsid w:val="00630C0B"/>
    <w:rsid w:val="00633FED"/>
    <w:rsid w:val="00637A55"/>
    <w:rsid w:val="0064056E"/>
    <w:rsid w:val="00640E29"/>
    <w:rsid w:val="006412B6"/>
    <w:rsid w:val="00644AB5"/>
    <w:rsid w:val="00647CA6"/>
    <w:rsid w:val="006503A5"/>
    <w:rsid w:val="00654FC8"/>
    <w:rsid w:val="0065570E"/>
    <w:rsid w:val="0066059F"/>
    <w:rsid w:val="00662D7A"/>
    <w:rsid w:val="0067406A"/>
    <w:rsid w:val="00675375"/>
    <w:rsid w:val="0068375C"/>
    <w:rsid w:val="006940BD"/>
    <w:rsid w:val="00694F26"/>
    <w:rsid w:val="006A53DA"/>
    <w:rsid w:val="006B6B3E"/>
    <w:rsid w:val="006B6EED"/>
    <w:rsid w:val="006D020A"/>
    <w:rsid w:val="006D6F43"/>
    <w:rsid w:val="006E63CF"/>
    <w:rsid w:val="006E65A3"/>
    <w:rsid w:val="006F402A"/>
    <w:rsid w:val="007215C0"/>
    <w:rsid w:val="007219B3"/>
    <w:rsid w:val="0074201E"/>
    <w:rsid w:val="0075092A"/>
    <w:rsid w:val="007546F9"/>
    <w:rsid w:val="007558AB"/>
    <w:rsid w:val="0075733E"/>
    <w:rsid w:val="00761FD4"/>
    <w:rsid w:val="00762A22"/>
    <w:rsid w:val="00777D02"/>
    <w:rsid w:val="007824D8"/>
    <w:rsid w:val="00783A0C"/>
    <w:rsid w:val="00795C89"/>
    <w:rsid w:val="007A33BA"/>
    <w:rsid w:val="007A454C"/>
    <w:rsid w:val="007A7626"/>
    <w:rsid w:val="007B2667"/>
    <w:rsid w:val="007D1530"/>
    <w:rsid w:val="007E2116"/>
    <w:rsid w:val="007E6A86"/>
    <w:rsid w:val="007F0708"/>
    <w:rsid w:val="00805703"/>
    <w:rsid w:val="00810B45"/>
    <w:rsid w:val="00830961"/>
    <w:rsid w:val="008359F3"/>
    <w:rsid w:val="0084500E"/>
    <w:rsid w:val="00846062"/>
    <w:rsid w:val="008621AD"/>
    <w:rsid w:val="00865417"/>
    <w:rsid w:val="00877655"/>
    <w:rsid w:val="00895F94"/>
    <w:rsid w:val="008A0260"/>
    <w:rsid w:val="008B7EE2"/>
    <w:rsid w:val="008C3482"/>
    <w:rsid w:val="008C4FA0"/>
    <w:rsid w:val="008C6C40"/>
    <w:rsid w:val="008C7A3E"/>
    <w:rsid w:val="009035CD"/>
    <w:rsid w:val="00913BA6"/>
    <w:rsid w:val="00916497"/>
    <w:rsid w:val="009254DD"/>
    <w:rsid w:val="00925CD9"/>
    <w:rsid w:val="00925D34"/>
    <w:rsid w:val="00925EBC"/>
    <w:rsid w:val="00933151"/>
    <w:rsid w:val="0093791A"/>
    <w:rsid w:val="00943C31"/>
    <w:rsid w:val="00944710"/>
    <w:rsid w:val="0094512A"/>
    <w:rsid w:val="00947224"/>
    <w:rsid w:val="0095707F"/>
    <w:rsid w:val="0096017A"/>
    <w:rsid w:val="00960609"/>
    <w:rsid w:val="00960AF4"/>
    <w:rsid w:val="0097095B"/>
    <w:rsid w:val="00977472"/>
    <w:rsid w:val="00984AC5"/>
    <w:rsid w:val="0098679A"/>
    <w:rsid w:val="009A599C"/>
    <w:rsid w:val="009B2A3B"/>
    <w:rsid w:val="009B668F"/>
    <w:rsid w:val="009C700C"/>
    <w:rsid w:val="009D020C"/>
    <w:rsid w:val="009D40FC"/>
    <w:rsid w:val="009F1FF6"/>
    <w:rsid w:val="009F737C"/>
    <w:rsid w:val="00A07E7C"/>
    <w:rsid w:val="00A11C49"/>
    <w:rsid w:val="00A14180"/>
    <w:rsid w:val="00A15F0D"/>
    <w:rsid w:val="00A25103"/>
    <w:rsid w:val="00A25982"/>
    <w:rsid w:val="00A27D46"/>
    <w:rsid w:val="00A34A69"/>
    <w:rsid w:val="00A36B50"/>
    <w:rsid w:val="00A4601A"/>
    <w:rsid w:val="00A5089E"/>
    <w:rsid w:val="00A50B12"/>
    <w:rsid w:val="00A5357D"/>
    <w:rsid w:val="00A601C5"/>
    <w:rsid w:val="00A725B9"/>
    <w:rsid w:val="00A7387A"/>
    <w:rsid w:val="00A73D72"/>
    <w:rsid w:val="00A755B9"/>
    <w:rsid w:val="00A7663B"/>
    <w:rsid w:val="00A7683D"/>
    <w:rsid w:val="00A82406"/>
    <w:rsid w:val="00A85BB6"/>
    <w:rsid w:val="00A93043"/>
    <w:rsid w:val="00A94E8B"/>
    <w:rsid w:val="00AB1709"/>
    <w:rsid w:val="00AB7D26"/>
    <w:rsid w:val="00AC78E0"/>
    <w:rsid w:val="00AD11FC"/>
    <w:rsid w:val="00AD2DC2"/>
    <w:rsid w:val="00AD64CC"/>
    <w:rsid w:val="00AD68EC"/>
    <w:rsid w:val="00AE3016"/>
    <w:rsid w:val="00AE368D"/>
    <w:rsid w:val="00AF1210"/>
    <w:rsid w:val="00AF260F"/>
    <w:rsid w:val="00AF5965"/>
    <w:rsid w:val="00B035D9"/>
    <w:rsid w:val="00B10354"/>
    <w:rsid w:val="00B11696"/>
    <w:rsid w:val="00B11F90"/>
    <w:rsid w:val="00B23496"/>
    <w:rsid w:val="00B249EF"/>
    <w:rsid w:val="00B26BC3"/>
    <w:rsid w:val="00B31ED3"/>
    <w:rsid w:val="00B50C5F"/>
    <w:rsid w:val="00B53A10"/>
    <w:rsid w:val="00B6510E"/>
    <w:rsid w:val="00B67B77"/>
    <w:rsid w:val="00B67C70"/>
    <w:rsid w:val="00B71268"/>
    <w:rsid w:val="00B7132C"/>
    <w:rsid w:val="00B77E0C"/>
    <w:rsid w:val="00B80182"/>
    <w:rsid w:val="00B812A3"/>
    <w:rsid w:val="00B83FA8"/>
    <w:rsid w:val="00B91AFF"/>
    <w:rsid w:val="00B92E19"/>
    <w:rsid w:val="00BA4F08"/>
    <w:rsid w:val="00BC2F98"/>
    <w:rsid w:val="00BD102A"/>
    <w:rsid w:val="00BD1622"/>
    <w:rsid w:val="00BD1B09"/>
    <w:rsid w:val="00BD35AB"/>
    <w:rsid w:val="00BD7AFC"/>
    <w:rsid w:val="00BE5335"/>
    <w:rsid w:val="00BF09F5"/>
    <w:rsid w:val="00BF184B"/>
    <w:rsid w:val="00BF1A73"/>
    <w:rsid w:val="00BF2D0C"/>
    <w:rsid w:val="00BF6903"/>
    <w:rsid w:val="00C0313B"/>
    <w:rsid w:val="00C12C87"/>
    <w:rsid w:val="00C16F2F"/>
    <w:rsid w:val="00C179FC"/>
    <w:rsid w:val="00C22F82"/>
    <w:rsid w:val="00C246CA"/>
    <w:rsid w:val="00C27794"/>
    <w:rsid w:val="00C32F9F"/>
    <w:rsid w:val="00C33AF0"/>
    <w:rsid w:val="00C44028"/>
    <w:rsid w:val="00C6356C"/>
    <w:rsid w:val="00C65D0C"/>
    <w:rsid w:val="00C6600A"/>
    <w:rsid w:val="00C7459C"/>
    <w:rsid w:val="00C775AA"/>
    <w:rsid w:val="00C819E2"/>
    <w:rsid w:val="00C81FE8"/>
    <w:rsid w:val="00C87F41"/>
    <w:rsid w:val="00C90EBF"/>
    <w:rsid w:val="00C941FD"/>
    <w:rsid w:val="00CA01D5"/>
    <w:rsid w:val="00CC265F"/>
    <w:rsid w:val="00CD188B"/>
    <w:rsid w:val="00CD2B99"/>
    <w:rsid w:val="00CE119B"/>
    <w:rsid w:val="00CE3C87"/>
    <w:rsid w:val="00CE4D2A"/>
    <w:rsid w:val="00CF025B"/>
    <w:rsid w:val="00D06F9C"/>
    <w:rsid w:val="00D13BC4"/>
    <w:rsid w:val="00D22226"/>
    <w:rsid w:val="00D26960"/>
    <w:rsid w:val="00D3087A"/>
    <w:rsid w:val="00D33828"/>
    <w:rsid w:val="00D37B79"/>
    <w:rsid w:val="00D418E0"/>
    <w:rsid w:val="00D44D3C"/>
    <w:rsid w:val="00D45214"/>
    <w:rsid w:val="00D51D5C"/>
    <w:rsid w:val="00D51F91"/>
    <w:rsid w:val="00D54F42"/>
    <w:rsid w:val="00D56312"/>
    <w:rsid w:val="00D57731"/>
    <w:rsid w:val="00D70790"/>
    <w:rsid w:val="00D7231E"/>
    <w:rsid w:val="00D73104"/>
    <w:rsid w:val="00D85B2E"/>
    <w:rsid w:val="00DC2379"/>
    <w:rsid w:val="00DC32EF"/>
    <w:rsid w:val="00DC5B82"/>
    <w:rsid w:val="00DD160D"/>
    <w:rsid w:val="00DD2BD6"/>
    <w:rsid w:val="00DD518D"/>
    <w:rsid w:val="00DD6018"/>
    <w:rsid w:val="00DE6195"/>
    <w:rsid w:val="00DE6807"/>
    <w:rsid w:val="00DE713F"/>
    <w:rsid w:val="00DE790D"/>
    <w:rsid w:val="00DE7ED2"/>
    <w:rsid w:val="00DF7456"/>
    <w:rsid w:val="00DF7554"/>
    <w:rsid w:val="00E00357"/>
    <w:rsid w:val="00E168EE"/>
    <w:rsid w:val="00E418DA"/>
    <w:rsid w:val="00E50780"/>
    <w:rsid w:val="00E57F42"/>
    <w:rsid w:val="00E71058"/>
    <w:rsid w:val="00E82228"/>
    <w:rsid w:val="00E83B2D"/>
    <w:rsid w:val="00E961D5"/>
    <w:rsid w:val="00EA02FC"/>
    <w:rsid w:val="00EA4638"/>
    <w:rsid w:val="00EB1D9A"/>
    <w:rsid w:val="00EB66CA"/>
    <w:rsid w:val="00EB69B2"/>
    <w:rsid w:val="00EB719B"/>
    <w:rsid w:val="00EC71A9"/>
    <w:rsid w:val="00ED1EC3"/>
    <w:rsid w:val="00ED3D23"/>
    <w:rsid w:val="00ED3DA5"/>
    <w:rsid w:val="00ED59DB"/>
    <w:rsid w:val="00EE3874"/>
    <w:rsid w:val="00EE6D7A"/>
    <w:rsid w:val="00F04DA3"/>
    <w:rsid w:val="00F14729"/>
    <w:rsid w:val="00F15743"/>
    <w:rsid w:val="00F21C07"/>
    <w:rsid w:val="00F40E22"/>
    <w:rsid w:val="00F43ABB"/>
    <w:rsid w:val="00F76EC6"/>
    <w:rsid w:val="00F914EE"/>
    <w:rsid w:val="00F93BAF"/>
    <w:rsid w:val="00F95D5F"/>
    <w:rsid w:val="00F966C5"/>
    <w:rsid w:val="00F96EFD"/>
    <w:rsid w:val="00FB05FC"/>
    <w:rsid w:val="00FB244A"/>
    <w:rsid w:val="00FB5687"/>
    <w:rsid w:val="00FC044F"/>
    <w:rsid w:val="00FC1EB7"/>
    <w:rsid w:val="00FE31C5"/>
    <w:rsid w:val="00FE6D7F"/>
    <w:rsid w:val="00FF78BD"/>
    <w:rsid w:val="04906997"/>
    <w:rsid w:val="049B636B"/>
    <w:rsid w:val="050B77E3"/>
    <w:rsid w:val="06723255"/>
    <w:rsid w:val="07991656"/>
    <w:rsid w:val="097922D8"/>
    <w:rsid w:val="0CC33570"/>
    <w:rsid w:val="0DB72F08"/>
    <w:rsid w:val="101F18EF"/>
    <w:rsid w:val="10AC5FB0"/>
    <w:rsid w:val="12BC3B62"/>
    <w:rsid w:val="152E0036"/>
    <w:rsid w:val="184F754A"/>
    <w:rsid w:val="19C41090"/>
    <w:rsid w:val="1ACD2659"/>
    <w:rsid w:val="23473B40"/>
    <w:rsid w:val="23E34C9B"/>
    <w:rsid w:val="262477BF"/>
    <w:rsid w:val="26D80B08"/>
    <w:rsid w:val="2AE52572"/>
    <w:rsid w:val="2E6E2AEB"/>
    <w:rsid w:val="31727460"/>
    <w:rsid w:val="32A57FAA"/>
    <w:rsid w:val="33BE302F"/>
    <w:rsid w:val="34354CB4"/>
    <w:rsid w:val="35D02767"/>
    <w:rsid w:val="365315FB"/>
    <w:rsid w:val="372B291D"/>
    <w:rsid w:val="37B56CAD"/>
    <w:rsid w:val="38B66084"/>
    <w:rsid w:val="43C35E3B"/>
    <w:rsid w:val="43CF12ED"/>
    <w:rsid w:val="454B60C2"/>
    <w:rsid w:val="45C43104"/>
    <w:rsid w:val="4671530E"/>
    <w:rsid w:val="485D704A"/>
    <w:rsid w:val="4906571F"/>
    <w:rsid w:val="49321A22"/>
    <w:rsid w:val="4AE56F6F"/>
    <w:rsid w:val="4D414F80"/>
    <w:rsid w:val="4D4D65B2"/>
    <w:rsid w:val="4E312AFD"/>
    <w:rsid w:val="4E686795"/>
    <w:rsid w:val="50526211"/>
    <w:rsid w:val="50581991"/>
    <w:rsid w:val="53620476"/>
    <w:rsid w:val="53823031"/>
    <w:rsid w:val="54212AF2"/>
    <w:rsid w:val="57B47C73"/>
    <w:rsid w:val="58C5213B"/>
    <w:rsid w:val="5C877BB2"/>
    <w:rsid w:val="5C8E7C8B"/>
    <w:rsid w:val="5D755A89"/>
    <w:rsid w:val="5E053490"/>
    <w:rsid w:val="60E87C70"/>
    <w:rsid w:val="620B54EE"/>
    <w:rsid w:val="63971485"/>
    <w:rsid w:val="63ED0758"/>
    <w:rsid w:val="69982010"/>
    <w:rsid w:val="6CD46447"/>
    <w:rsid w:val="6DEA00F5"/>
    <w:rsid w:val="6EA26B76"/>
    <w:rsid w:val="6F572052"/>
    <w:rsid w:val="706C12B5"/>
    <w:rsid w:val="71AA2528"/>
    <w:rsid w:val="732A7C15"/>
    <w:rsid w:val="739F381E"/>
    <w:rsid w:val="74CC7CEC"/>
    <w:rsid w:val="787A5BE8"/>
    <w:rsid w:val="7BBC75A5"/>
    <w:rsid w:val="7D0A7D18"/>
    <w:rsid w:val="7D731809"/>
    <w:rsid w:val="7D8B5B36"/>
    <w:rsid w:val="7EF85871"/>
    <w:rsid w:val="7F3224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000000" w:sz="12" w:space="3"/>
      </w:pBdr>
      <w:suppressAutoHyphens/>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uppressAutoHyphens/>
      <w:spacing w:before="120"/>
      <w:ind w:left="567" w:right="425" w:hanging="567"/>
    </w:pPr>
    <w:rPr>
      <w:rFonts w:ascii="Times New Roman" w:hAnsi="Times New Roman" w:eastAsia="Times New Roman" w:cs="Times New Roman"/>
      <w:sz w:val="22"/>
      <w:lang w:val="en-GB" w:eastAsia="en-US" w:bidi="ar-SA"/>
    </w:rPr>
  </w:style>
  <w:style w:type="paragraph" w:styleId="19">
    <w:name w:val="List Number 2"/>
    <w:basedOn w:val="20"/>
    <w:qFormat/>
    <w:uiPriority w:val="0"/>
    <w:pPr>
      <w:ind w:left="851"/>
    </w:pPr>
  </w:style>
  <w:style w:type="paragraph" w:styleId="20">
    <w:name w:val="List Number"/>
    <w:basedOn w:val="21"/>
    <w:qFormat/>
    <w:uiPriority w:val="0"/>
  </w:style>
  <w:style w:type="paragraph" w:styleId="21">
    <w:name w:val="List Bullet 5"/>
    <w:basedOn w:val="22"/>
    <w:qFormat/>
    <w:uiPriority w:val="0"/>
    <w:pPr>
      <w:ind w:left="1702"/>
    </w:pPr>
  </w:style>
  <w:style w:type="paragraph" w:styleId="22">
    <w:name w:val="List Bullet 4"/>
    <w:basedOn w:val="23"/>
    <w:qFormat/>
    <w:uiPriority w:val="0"/>
    <w:pPr>
      <w:ind w:left="1418"/>
    </w:pPr>
  </w:style>
  <w:style w:type="paragraph" w:styleId="23">
    <w:name w:val="List Bullet 3"/>
    <w:basedOn w:val="24"/>
    <w:qFormat/>
    <w:uiPriority w:val="0"/>
    <w:pPr>
      <w:ind w:left="851" w:firstLine="0"/>
    </w:pPr>
  </w:style>
  <w:style w:type="paragraph" w:styleId="24">
    <w:name w:val="List"/>
    <w:basedOn w:val="1"/>
    <w:qFormat/>
    <w:uiPriority w:val="0"/>
    <w:pPr>
      <w:ind w:left="568" w:hanging="284"/>
    </w:pPr>
  </w:style>
  <w:style w:type="paragraph" w:styleId="25">
    <w:name w:val="caption"/>
    <w:basedOn w:val="1"/>
    <w:next w:val="1"/>
    <w:qFormat/>
    <w:uiPriority w:val="0"/>
    <w:pPr>
      <w:suppressLineNumbers/>
      <w:spacing w:before="120" w:after="120"/>
    </w:pPr>
    <w:rPr>
      <w:rFonts w:cs="Lohit Devanagari"/>
      <w:i/>
      <w:iCs/>
      <w:sz w:val="24"/>
      <w:szCs w:val="24"/>
    </w:rPr>
  </w:style>
  <w:style w:type="paragraph" w:styleId="26">
    <w:name w:val="List Bullet"/>
    <w:basedOn w:val="24"/>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link w:val="93"/>
    <w:qFormat/>
    <w:uiPriority w:val="0"/>
    <w:pPr>
      <w:spacing w:after="140" w:line="276" w:lineRule="auto"/>
    </w:pPr>
  </w:style>
  <w:style w:type="paragraph" w:styleId="30">
    <w:name w:val="List Bullet 2"/>
    <w:basedOn w:val="26"/>
    <w:qFormat/>
    <w:uiPriority w:val="0"/>
    <w:pPr>
      <w:ind w:left="851" w:firstLine="0"/>
    </w:pPr>
  </w:style>
  <w:style w:type="paragraph" w:styleId="31">
    <w:name w:val="toc 8"/>
    <w:basedOn w:val="18"/>
    <w:next w:val="1"/>
    <w:semiHidden/>
    <w:qFormat/>
    <w:uiPriority w:val="0"/>
    <w:pPr>
      <w:spacing w:before="180" w:after="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uppressAutoHyphens/>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toc 9"/>
    <w:basedOn w:val="31"/>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semiHidden/>
    <w:qFormat/>
    <w:uiPriority w:val="0"/>
    <w:rPr>
      <w:b/>
      <w:bCs/>
    </w:r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customStyle="1" w:styleId="45">
    <w:name w:val="Footnote Characters"/>
    <w:semiHidden/>
    <w:qFormat/>
    <w:uiPriority w:val="0"/>
    <w:rPr>
      <w:b/>
      <w:sz w:val="16"/>
      <w:vertAlign w:val="superscript"/>
    </w:rPr>
  </w:style>
  <w:style w:type="character" w:customStyle="1" w:styleId="46">
    <w:name w:val="Footnote Anchor"/>
    <w:qFormat/>
    <w:uiPriority w:val="0"/>
    <w:rPr>
      <w:b/>
      <w:sz w:val="16"/>
      <w:vertAlign w:val="superscript"/>
    </w:rPr>
  </w:style>
  <w:style w:type="character" w:customStyle="1" w:styleId="47">
    <w:name w:val="ZGSM"/>
    <w:qFormat/>
    <w:uiPriority w:val="0"/>
  </w:style>
  <w:style w:type="character" w:customStyle="1" w:styleId="48">
    <w:name w:val="B1 Char"/>
    <w:link w:val="49"/>
    <w:qFormat/>
    <w:uiPriority w:val="0"/>
    <w:rPr>
      <w:rFonts w:ascii="Times New Roman" w:hAnsi="Times New Roman"/>
      <w:lang w:val="en-GB" w:eastAsia="en-US"/>
    </w:rPr>
  </w:style>
  <w:style w:type="paragraph" w:customStyle="1" w:styleId="49">
    <w:name w:val="B1"/>
    <w:basedOn w:val="24"/>
    <w:link w:val="48"/>
    <w:qFormat/>
    <w:uiPriority w:val="0"/>
  </w:style>
  <w:style w:type="character" w:customStyle="1" w:styleId="50">
    <w:name w:val="NO Char"/>
    <w:link w:val="51"/>
    <w:qFormat/>
    <w:uiPriority w:val="0"/>
    <w:rPr>
      <w:rFonts w:ascii="Times New Roman" w:hAnsi="Times New Roman"/>
      <w:lang w:val="en-GB" w:eastAsia="en-US"/>
    </w:rPr>
  </w:style>
  <w:style w:type="paragraph" w:customStyle="1" w:styleId="51">
    <w:name w:val="NO"/>
    <w:basedOn w:val="1"/>
    <w:link w:val="50"/>
    <w:qFormat/>
    <w:uiPriority w:val="0"/>
    <w:pPr>
      <w:keepLines/>
      <w:ind w:left="1135" w:hanging="851"/>
    </w:pPr>
  </w:style>
  <w:style w:type="character" w:customStyle="1" w:styleId="52">
    <w:name w:val="Heading 4 Char"/>
    <w:link w:val="5"/>
    <w:qFormat/>
    <w:uiPriority w:val="0"/>
    <w:rPr>
      <w:rFonts w:ascii="Arial" w:hAnsi="Arial"/>
      <w:sz w:val="24"/>
      <w:lang w:val="en-GB" w:eastAsia="en-US"/>
    </w:rPr>
  </w:style>
  <w:style w:type="character" w:customStyle="1" w:styleId="53">
    <w:name w:val="ui-provider"/>
    <w:basedOn w:val="41"/>
    <w:qFormat/>
    <w:uiPriority w:val="0"/>
  </w:style>
  <w:style w:type="character" w:customStyle="1" w:styleId="54">
    <w:name w:val="NO Zchn"/>
    <w:qFormat/>
    <w:uiPriority w:val="0"/>
    <w:rPr>
      <w:lang w:eastAsia="en-US"/>
    </w:rPr>
  </w:style>
  <w:style w:type="paragraph" w:customStyle="1" w:styleId="55">
    <w:name w:val="Heading"/>
    <w:basedOn w:val="1"/>
    <w:next w:val="29"/>
    <w:qFormat/>
    <w:uiPriority w:val="0"/>
    <w:pPr>
      <w:keepNext/>
      <w:spacing w:before="240" w:after="120"/>
    </w:pPr>
    <w:rPr>
      <w:rFonts w:ascii="Liberation Sans" w:hAnsi="Liberation Sans" w:eastAsia="Noto Sans CJK SC" w:cs="Lohit Devanagari"/>
      <w:sz w:val="28"/>
      <w:szCs w:val="28"/>
    </w:rPr>
  </w:style>
  <w:style w:type="paragraph" w:customStyle="1" w:styleId="56">
    <w:name w:val="Index"/>
    <w:basedOn w:val="1"/>
    <w:qFormat/>
    <w:uiPriority w:val="0"/>
    <w:pPr>
      <w:suppressLineNumbers/>
    </w:pPr>
    <w:rPr>
      <w:rFonts w:cs="Lohit Devanagari"/>
    </w:rPr>
  </w:style>
  <w:style w:type="paragraph" w:customStyle="1" w:styleId="57">
    <w:name w:val="ZT"/>
    <w:qFormat/>
    <w:uiPriority w:val="0"/>
    <w:pPr>
      <w:widowControl w:val="0"/>
      <w:suppressAutoHyphens/>
      <w:spacing w:line="240" w:lineRule="atLeast"/>
      <w:jc w:val="right"/>
    </w:pPr>
    <w:rPr>
      <w:rFonts w:ascii="Arial" w:hAnsi="Arial" w:eastAsia="Times New Roman" w:cs="Times New Roman"/>
      <w:b/>
      <w:sz w:val="34"/>
      <w:lang w:val="en-GB" w:eastAsia="en-US" w:bidi="ar-SA"/>
    </w:rPr>
  </w:style>
  <w:style w:type="paragraph" w:customStyle="1" w:styleId="58">
    <w:name w:val="ZH"/>
    <w:qFormat/>
    <w:uiPriority w:val="0"/>
    <w:pPr>
      <w:widowControl w:val="0"/>
      <w:suppressAutoHyphens/>
    </w:pPr>
    <w:rPr>
      <w:rFonts w:ascii="Arial" w:hAnsi="Arial" w:eastAsia="Times New Roman" w:cs="Times New Roman"/>
      <w:lang w:val="en-GB" w:eastAsia="en-US" w:bidi="ar-SA"/>
    </w:rPr>
  </w:style>
  <w:style w:type="paragraph" w:customStyle="1" w:styleId="59">
    <w:name w:val="TT"/>
    <w:basedOn w:val="2"/>
    <w:next w:val="1"/>
    <w:qFormat/>
    <w:uiPriority w:val="0"/>
  </w:style>
  <w:style w:type="paragraph" w:customStyle="1" w:styleId="60">
    <w:name w:val="Header and Footer"/>
    <w:basedOn w:val="1"/>
    <w:qFormat/>
    <w:uiPriority w:val="0"/>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uppressAutoHyphens/>
      <w:spacing w:line="180" w:lineRule="exact"/>
    </w:pPr>
    <w:rPr>
      <w:rFonts w:ascii="MS LineDraw" w:hAnsi="MS LineDraw" w:eastAsia="Times New Roman" w:cs="Times New Roman"/>
      <w:lang w:val="en-GB" w:eastAsia="en-US" w:bidi="ar-SA"/>
    </w:rPr>
  </w:style>
  <w:style w:type="paragraph" w:customStyle="1" w:styleId="69">
    <w:name w:val="NW"/>
    <w:basedOn w:val="51"/>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51"/>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eastAsia="Times New Roman" w:cs="Times New Roman"/>
      <w:sz w:val="16"/>
      <w:lang w:val="en-GB" w:eastAsia="en-US" w:bidi="ar-SA"/>
    </w:rPr>
  </w:style>
  <w:style w:type="paragraph" w:customStyle="1" w:styleId="74">
    <w:name w:val="TAR"/>
    <w:basedOn w:val="63"/>
    <w:qFormat/>
    <w:uiPriority w:val="0"/>
    <w:pPr>
      <w:jc w:val="right"/>
    </w:pPr>
  </w:style>
  <w:style w:type="paragraph" w:customStyle="1" w:styleId="75">
    <w:name w:val="TAN"/>
    <w:basedOn w:val="63"/>
    <w:qFormat/>
    <w:uiPriority w:val="0"/>
    <w:pPr>
      <w:ind w:left="851" w:hanging="851"/>
    </w:pPr>
  </w:style>
  <w:style w:type="paragraph" w:customStyle="1" w:styleId="76">
    <w:name w:val="ZA"/>
    <w:qFormat/>
    <w:uiPriority w:val="0"/>
    <w:pPr>
      <w:widowControl w:val="0"/>
      <w:pBdr>
        <w:bottom w:val="single" w:color="000000" w:sz="12" w:space="1"/>
      </w:pBdr>
      <w:suppressAutoHyphens/>
      <w:jc w:val="right"/>
    </w:pPr>
    <w:rPr>
      <w:rFonts w:ascii="Arial" w:hAnsi="Arial" w:eastAsia="Times New Roman" w:cs="Times New Roman"/>
      <w:sz w:val="40"/>
      <w:lang w:val="en-GB" w:eastAsia="en-US" w:bidi="ar-SA"/>
    </w:rPr>
  </w:style>
  <w:style w:type="paragraph" w:customStyle="1" w:styleId="77">
    <w:name w:val="ZB"/>
    <w:qFormat/>
    <w:uiPriority w:val="0"/>
    <w:pPr>
      <w:widowControl w:val="0"/>
      <w:suppressAutoHyphens/>
      <w:ind w:right="28"/>
      <w:jc w:val="right"/>
    </w:pPr>
    <w:rPr>
      <w:rFonts w:ascii="Arial" w:hAnsi="Arial" w:eastAsia="Times New Roman" w:cs="Times New Roman"/>
      <w:i/>
      <w:lang w:val="en-GB" w:eastAsia="en-US" w:bidi="ar-SA"/>
    </w:rPr>
  </w:style>
  <w:style w:type="paragraph" w:customStyle="1" w:styleId="78">
    <w:name w:val="ZD"/>
    <w:qFormat/>
    <w:uiPriority w:val="0"/>
    <w:pPr>
      <w:widowControl w:val="0"/>
      <w:suppressAutoHyphens/>
    </w:pPr>
    <w:rPr>
      <w:rFonts w:ascii="Arial" w:hAnsi="Arial" w:eastAsia="Times New Roman" w:cs="Times New Roman"/>
      <w:sz w:val="32"/>
      <w:lang w:val="en-GB" w:eastAsia="en-US" w:bidi="ar-SA"/>
    </w:rPr>
  </w:style>
  <w:style w:type="paragraph" w:customStyle="1" w:styleId="79">
    <w:name w:val="ZU"/>
    <w:qFormat/>
    <w:uiPriority w:val="0"/>
    <w:pPr>
      <w:widowControl w:val="0"/>
      <w:pBdr>
        <w:top w:val="single" w:color="000000" w:sz="12" w:space="1"/>
      </w:pBdr>
      <w:suppressAutoHyphens/>
      <w:jc w:val="right"/>
    </w:pPr>
    <w:rPr>
      <w:rFonts w:ascii="Arial" w:hAnsi="Arial" w:eastAsia="Times New Roman" w:cs="Times New Roman"/>
      <w:lang w:val="en-GB" w:eastAsia="en-US" w:bidi="ar-SA"/>
    </w:rPr>
  </w:style>
  <w:style w:type="paragraph" w:customStyle="1" w:styleId="80">
    <w:name w:val="ZV"/>
    <w:basedOn w:val="79"/>
    <w:qFormat/>
    <w:uiPriority w:val="0"/>
  </w:style>
  <w:style w:type="paragraph" w:customStyle="1" w:styleId="81">
    <w:name w:val="ZG"/>
    <w:qFormat/>
    <w:uiPriority w:val="0"/>
    <w:pPr>
      <w:widowControl w:val="0"/>
      <w:suppressAutoHyphens/>
      <w:jc w:val="right"/>
    </w:pPr>
    <w:rPr>
      <w:rFonts w:ascii="Arial" w:hAnsi="Arial" w:eastAsia="Times New Roman" w:cs="Times New Roman"/>
      <w:lang w:val="en-GB" w:eastAsia="en-US" w:bidi="ar-SA"/>
    </w:rPr>
  </w:style>
  <w:style w:type="paragraph" w:customStyle="1" w:styleId="82">
    <w:name w:val="Editor's Note"/>
    <w:basedOn w:val="51"/>
    <w:qFormat/>
    <w:uiPriority w:val="0"/>
    <w:rPr>
      <w:color w:val="FF0000"/>
    </w:rPr>
  </w:style>
  <w:style w:type="paragraph" w:customStyle="1" w:styleId="83">
    <w:name w:val="B2"/>
    <w:basedOn w:val="23"/>
    <w:qFormat/>
    <w:uiPriority w:val="0"/>
  </w:style>
  <w:style w:type="paragraph" w:customStyle="1" w:styleId="84">
    <w:name w:val="B3"/>
    <w:basedOn w:val="22"/>
    <w:qFormat/>
    <w:uiPriority w:val="0"/>
  </w:style>
  <w:style w:type="paragraph" w:customStyle="1" w:styleId="85">
    <w:name w:val="B4"/>
    <w:basedOn w:val="21"/>
    <w:qFormat/>
    <w:uiPriority w:val="0"/>
  </w:style>
  <w:style w:type="paragraph" w:customStyle="1" w:styleId="86">
    <w:name w:val="B5"/>
    <w:basedOn w:val="20"/>
    <w:qFormat/>
    <w:uiPriority w:val="0"/>
  </w:style>
  <w:style w:type="paragraph" w:customStyle="1" w:styleId="87">
    <w:name w:val="ZTD"/>
    <w:basedOn w:val="77"/>
    <w:qFormat/>
    <w:uiPriority w:val="0"/>
    <w:rPr>
      <w:i w:val="0"/>
      <w:sz w:val="40"/>
    </w:rPr>
  </w:style>
  <w:style w:type="paragraph" w:customStyle="1" w:styleId="88">
    <w:name w:val="CR Cover Page"/>
    <w:qFormat/>
    <w:uiPriority w:val="0"/>
    <w:pPr>
      <w:suppressAutoHyphens/>
      <w:spacing w:after="120"/>
    </w:pPr>
    <w:rPr>
      <w:rFonts w:ascii="Arial" w:hAnsi="Arial" w:eastAsia="Times New Roman" w:cs="Times New Roman"/>
      <w:lang w:val="en-GB" w:eastAsia="en-US" w:bidi="ar-SA"/>
    </w:rPr>
  </w:style>
  <w:style w:type="paragraph" w:customStyle="1" w:styleId="89">
    <w:name w:val="tdoc-header"/>
    <w:qFormat/>
    <w:uiPriority w:val="0"/>
    <w:pPr>
      <w:suppressAutoHyphens/>
    </w:pPr>
    <w:rPr>
      <w:rFonts w:ascii="Arial" w:hAnsi="Arial" w:eastAsia="Times New Roman" w:cs="Times New Roman"/>
      <w:sz w:val="24"/>
      <w:lang w:val="en-GB" w:eastAsia="en-US" w:bidi="ar-SA"/>
    </w:rPr>
  </w:style>
  <w:style w:type="paragraph" w:customStyle="1" w:styleId="90">
    <w:name w:val="Revision"/>
    <w:semiHidden/>
    <w:qFormat/>
    <w:uiPriority w:val="99"/>
    <w:pPr>
      <w:suppressAutoHyphens/>
    </w:pPr>
    <w:rPr>
      <w:rFonts w:ascii="Times New Roman" w:hAnsi="Times New Roman" w:eastAsia="Times New Roman" w:cs="Times New Roman"/>
      <w:lang w:val="en-GB" w:eastAsia="en-US" w:bidi="ar-SA"/>
    </w:rPr>
  </w:style>
  <w:style w:type="paragraph" w:styleId="91">
    <w:name w:val="List Paragraph"/>
    <w:basedOn w:val="1"/>
    <w:qFormat/>
    <w:uiPriority w:val="34"/>
    <w:pPr>
      <w:ind w:left="720"/>
      <w:contextualSpacing/>
    </w:pPr>
  </w:style>
  <w:style w:type="character" w:styleId="92">
    <w:name w:val="Placeholder Text"/>
    <w:basedOn w:val="41"/>
    <w:semiHidden/>
    <w:qFormat/>
    <w:uiPriority w:val="99"/>
    <w:rPr>
      <w:color w:val="808080"/>
    </w:rPr>
  </w:style>
  <w:style w:type="character" w:customStyle="1" w:styleId="93">
    <w:name w:val="Body Text Char"/>
    <w:basedOn w:val="41"/>
    <w:link w:val="29"/>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912</Words>
  <Characters>5017</Characters>
  <Lines>39</Lines>
  <Paragraphs>11</Paragraphs>
  <TotalTime>6</TotalTime>
  <ScaleCrop>false</ScaleCrop>
  <LinksUpToDate>false</LinksUpToDate>
  <CharactersWithSpaces>5871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2024-05-16T07:24:00Z</dcterms:created>
  <dc:creator>Michael Sanders, John M Meredith</dc:creator>
  <cp:lastModifiedBy>CMCC02</cp:lastModifiedBy>
  <cp:lastPrinted>2411-12-31T07:00:00Z</cp:lastPrinted>
  <dcterms:modified xsi:type="dcterms:W3CDTF">2024-08-23T13:47:19Z</dcterms:modified>
  <dc:title>MTG_TITLE</dc:title>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y fmtid="{D5CDD505-2E9C-101B-9397-08002B2CF9AE}" pid="42" name="KSOProductBuildVer">
    <vt:lpwstr>2052-12.1.0.15374</vt:lpwstr>
  </property>
  <property fmtid="{D5CDD505-2E9C-101B-9397-08002B2CF9AE}" pid="43" name="ICV">
    <vt:lpwstr>5DE89BDE6FA345BB8EAC42C8EA49B493</vt:lpwstr>
  </property>
</Properties>
</file>